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3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3因此只承担外部结构基线比较，DLinear和固定等权模型的内部比较放在表3和图5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一组经训练得到的全局常权重可进一步控制“权重不等”这一因素。表3显示本文方法在两数据集上的平均MSE低于全局权重模型，但种子间优势并不稳定，尤其GÉANT存在一次明显退化。图5仍展示相对DLinear和固定等权模型的多指标分布；全局权重的逐种子配对结果见表3及本节统计。</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分别显示随机种子42～49下三个尺度的平均路由权重。每个圆点对应一个种子在全部测试窗口上的均值，误差线为同一种子内测试窗口的标准差，虚线表示1/3。这样可直接区分模型初始化造成的权重差异与同一模型随窗口变化的幅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4937760" cy="2116183"/>
            <wp:docPr id="26" name="Picture 26"/>
            <wp:cNvGraphicFramePr>
              <a:graphicFrameLocks noChangeAspect="1"/>
            </wp:cNvGraphicFramePr>
            <a:graphic>
              <a:graphicData uri="http://schemas.openxmlformats.org/drawingml/2006/picture">
                <pic:pic>
                  <pic:nvPicPr>
                    <pic:cNvPr id="0" name="router_seed_variation_v28.png"/>
                    <pic:cNvPicPr/>
                  </pic:nvPicPr>
                  <pic:blipFill>
                    <a:blip r:embed="rId20"/>
                    <a:stretch>
                      <a:fillRect/>
                    </a:stretch>
                  </pic:blipFill>
                  <pic:spPr>
                    <a:xfrm>
                      <a:off x="0" y="0"/>
                      <a:ext cx="4937760" cy="2116183"/>
                    </a:xfrm>
                    <a:prstGeom prst="rect"/>
                  </pic:spPr>
                </pic:pic>
              </a:graphicData>
            </a:graphic>
          </wp:inline>
        </w:drawing>
      </w:r>
    </w:p>
    <w:p>
      <w:pPr>
        <w:keepNext w:val="0"/>
        <w:keepLines/>
        <w:spacing w:before="60" w:after="80"/>
        <w:ind w:firstLine="0"/>
        <w:jc w:val="center"/>
      </w:pPr>
      <w:r>
        <w:rPr>
          <w:rFonts w:eastAsia="黑体"/>
          <w:b/>
          <w:sz w:val="18"/>
          <w:szCs w:val="18"/>
        </w:rPr>
        <w:t>图6 各随机种子路由权重均值及测试窗口内标准差</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因此，合并所有种子的权重分布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