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3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3因此只承担外部结构基线比较，DLinear和固定等权模型的内部比较放在表3和图5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一组经训练得到的全局常权重可进一步控制“权重不等”这一因素。表3显示本文方法在两数据集上的平均MSE低于全局权重模型，但种子间优势并不稳定，尤其GÉANT存在一次明显退化。图5仍展示相对DLinear和固定等权模型的多指标分布；全局权重的逐种子配对结果见表3及本节统计。</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保留分布轮廓与散点。轮廓为8个种子均值的描述性平滑分布，彩色点对应种子42～49；细线表示各自窗口内权重的均值±1个标准差，并限于0～1。空心菱形及黑色误差线为跨种子均值及95%置信区间，水平虚线为固定等权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303520" cy="2261795"/>
            <wp:docPr id="26" name="Picture 26"/>
            <wp:cNvGraphicFramePr>
              <a:graphicFrameLocks noChangeAspect="1"/>
            </wp:cNvGraphicFramePr>
            <a:graphic>
              <a:graphicData uri="http://schemas.openxmlformats.org/drawingml/2006/picture">
                <pic:pic>
                  <pic:nvPicPr>
                    <pic:cNvPr id="0" name="fig6_router_seedwise_realdata_compact.png"/>
                    <pic:cNvPicPr/>
                  </pic:nvPicPr>
                  <pic:blipFill>
                    <a:blip r:embed="rId21"/>
                    <a:stretch>
                      <a:fillRect/>
                    </a:stretch>
                  </pic:blipFill>
                  <pic:spPr>
                    <a:xfrm>
                      <a:off x="0" y="0"/>
                      <a:ext cx="5303520" cy="2261795"/>
                    </a:xfrm>
                    <a:prstGeom prst="rect"/>
                  </pic:spPr>
                </pic:pic>
              </a:graphicData>
            </a:graphic>
          </wp:inline>
        </w:drawing>
      </w:r>
    </w:p>
    <w:p>
      <w:pPr>
        <w:keepNext w:val="0"/>
        <w:keepLines/>
        <w:spacing w:before="60" w:after="80"/>
        <w:ind w:firstLine="0"/>
        <w:jc w:val="center"/>
      </w:pPr>
      <w:r>
        <w:rPr>
          <w:rFonts w:eastAsia="黑体"/>
          <w:b/>
          <w:sz w:val="18"/>
          <w:szCs w:val="18"/>
        </w:rPr>
        <w:t>图6 八随机种子下路由权重均值分布与窗口内标准差</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因此，合并所有种子的权重分布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