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Abilene和GÉANT数据集上，3个共同随机种子下本文方法相对DLinear的MSE分别降低4.06%和4.43%，相对LightTS分别降低29.89%和46.83%。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On Abilene and GÉANT, the method reduces MSE relative to DLinear by 4.06% and 4.43%, and relative to LightTS by 29.89% and 46.83%,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多尺度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消融模型保留相同的尺度和专家，因此能够单独比较样本级权重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多尺度和样本级自适应多尺度三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判断当前样本更适合依赖哪些时间尺度，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只需判断尺度的相对重要性，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与本文方法的差别集中在权重是否依赖输入窗口。</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因此全局权重对照可用于检验输入相关融合的额外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更直接地检验输入相关权重是否带来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可与误差幅值直接对照。正文以MSE和MAE作为主要比较指标，RMSE用于补充。表2统计随机种子42～44的均值±标准差，表3统计随机种子42～49的均值±标准差，同时给出平均水平和重复实验间的波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相对DLinear分别降低4.06%和4.43%，相对LightTS分别降低29.89%和46.83%，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4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平均MSE分别降低2.77%和2.37%；相对固定等权模型，平均MSE分别降低1.67%和4.68%。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图3展示八个种子的配对改进率及其跨种子置信区间；正值表示样本级路由的MSE更低，菱形与误差线分别表示均值及t分布近似95%置信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图3逐随机种子展示本文方法相对全局可学习权重模型的MSE变化。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03520" cy="2339788"/>
            <wp:docPr id="27" name="Picture 27"/>
            <wp:cNvGraphicFramePr>
              <a:graphicFrameLocks noChangeAspect="1"/>
            </wp:cNvGraphicFramePr>
            <a:graphic>
              <a:graphicData uri="http://schemas.openxmlformats.org/drawingml/2006/picture">
                <pic:pic>
                  <pic:nvPicPr>
                    <pic:cNvPr id="0" name="fig3_global_vs_adaptive_paired.png"/>
                    <pic:cNvPicPr/>
                  </pic:nvPicPr>
                  <pic:blipFill>
                    <a:blip r:embed="rId22"/>
                    <a:stretch>
                      <a:fillRect/>
                    </a:stretch>
                  </pic:blipFill>
                  <pic:spPr>
                    <a:xfrm>
                      <a:off x="0" y="0"/>
                      <a:ext cx="5303520" cy="2339788"/>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图3 样本级路由相对全局可学习权重模型的八随机种子配对MSE改进率</w:t>
      </w:r>
      <w:r>
        <w:rPr>
          <w:rFonts w:eastAsia="黑体"/>
          <w:b/>
          <w:sz w:val="18"/>
          <w:szCs w:val="18"/>
        </w:rPr>
      </w:r>
      <w:r>
        <w:rPr>
          <w:rFonts w:eastAsia="黑体"/>
          <w:b/>
          <w:sz w:val="18"/>
          <w:szCs w:val="18"/>
        </w:rPr>
      </w:r>
      <w:r>
        <w:rPr>
          <w:rFonts w:eastAsia="黑体"/>
          <w:b/>
          <w:sz w:val="18"/>
          <w:szCs w:val="18"/>
        </w:rPr>
      </w:r>
    </w:p>
    <w:p w14:paraId="68B92BCA" w14:textId="77777777" w:rsidR="00B14FA3" w:rsidRPr="00B14FA3" w:rsidRDefault="00B14FA3" w:rsidP="00B14FA3">
      <w:r>
        <w:rPr>
          <w:color w:val="000000"/>
          <w:szCs w:val="21"/>
        </w:rPr>
        <w:t>图4汇总随机种子42～49下的相对改进结果，比较对象为DLinear和固定等权多尺度模型，指标包括MSE、MAE和RMSE。图中的散点对应单次随机种子实验，半小提琴表示8次结果的分布，圆点和误差线表示逐随机种子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图4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全局可学习权重模型进一步控制了“权重不等”这一因素。图3显示，样本级路由在Abilene的6个种子、GÉANT的7个种子上优于全局权重模型，但GÉANT种子43的MSE升高13.22%，使跨种子95%置信区间跨越零。图4另汇总相对DLinear和固定等权模型的多指标结果。</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保留分布轮廓与散点。轮廓为8个种子均值的描述性平滑分布，彩色点对应种子42～49；细线表示各自窗口内权重的均值±1个标准差，并限于0～1。空心菱形及黑色误差线为跨种子均值及95%置信区间，水平虚线为固定等权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303520" cy="2261795"/>
            <wp:docPr id="26" name="Picture 26"/>
            <wp:cNvGraphicFramePr>
              <a:graphicFrameLocks noChangeAspect="1"/>
            </wp:cNvGraphicFramePr>
            <a:graphic>
              <a:graphicData uri="http://schemas.openxmlformats.org/drawingml/2006/picture">
                <pic:pic>
                  <pic:nvPicPr>
                    <pic:cNvPr id="0" name="fig6_router_seedwise_realdata_compact.png"/>
                    <pic:cNvPicPr/>
                  </pic:nvPicPr>
                  <pic:blipFill>
                    <a:blip r:embed="rId21"/>
                    <a:stretch>
                      <a:fillRect/>
                    </a:stretch>
                  </pic:blipFill>
                  <pic:spPr>
                    <a:xfrm>
                      <a:off x="0" y="0"/>
                      <a:ext cx="5303520" cy="2261795"/>
                    </a:xfrm>
                    <a:prstGeom prst="rect"/>
                  </pic:spPr>
                </pic:pic>
              </a:graphicData>
            </a:graphic>
          </wp:inline>
        </w:drawing>
      </w:r>
    </w:p>
    <w:p>
      <w:pPr>
        <w:keepNext w:val="0"/>
        <w:keepLines/>
        <w:spacing w:before="60" w:after="80"/>
        <w:ind w:firstLine="0"/>
        <w:jc w:val="center"/>
      </w:pPr>
      <w:r>
        <w:rPr>
          <w:rFonts w:eastAsia="黑体"/>
          <w:b/>
          <w:sz w:val="18"/>
          <w:szCs w:val="18"/>
        </w:rPr>
        <w:t>图5 八随机种子下路由权重均值分布与窗口内标准差</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因此，合并所有种子的权重分布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Abilene和GÉANT上，本文方法相对DLinear、LightTS和固定等权模型取得较低平均误差。加入全局可学习权重对照后，样本级路由的逐种子平均MSE改进率分别为1.80%和4.31%，但GÉANT的95%置信区间跨越零。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