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同时包含短时起伏与较慢趋势，单一时间分辨率难以兼顾。本文采用尺度1、2和4的DLinear专家，并由输入窗口统计量驱动的轻量路由网络计算Softmax融合权重。在Abilene和GÉANT数据集上，3个共同随机种子下本文方法相对DLinear的MSE分别降低4.06%和4.43%，相对LightTS分别降低29.89%和46.83%。8个随机种子的核心消融进一步加入可学习的全局固定权重对照；本文方法相对该对照的逐种子平均MSE改进率分别为1.80%和4.31%，分别有6次和7次取得更低误差。GÉANT的配对95%置信区间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traffic contains both short-term fluctuations and slower trends. We combine DLinear experts at scales 1, 2, and 4 using Softmax weights generated from input-window statistics. On Abilene and GÉANT, the method reduces MSE relative to DLinear by 4.06% and 4.43%, and relative to LightTS by 29.89% and 46.83%, over three common random seeds. An eight-seed ablation adds a learned global-weight baseline. The mean seed-wise MSE reductions of the adaptive router over this baseline are 1.80% and 4.31%, with improvements in six and seven of eight seeds, respectively. The paired 95% confidence interval for GÉANT includes zero, and most of its pooled router-weight variance arises between seeds. Thus, the observed average error reduction does not yet establish reliable window-specific scale selection.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随着云计算、视频业务、数据中心互联及智能网络应用持续增加，业务在网络内部的迁移和聚集更加频繁，OD流量的时间变化也更复杂。容量规划、拥塞预警、资源调度和流量工程都需要对后续流量状态作出判断，提前获得后一时段的OD流量估计有助于网络管理系统预先调整资源。与较平稳的单变量序列相比，OD流量中往往同时存在周期变化、局部波动和突发变化，不同OD变量的数值范围也有明显差异，因此预测模型既要描述较长时间范围内的变化趋势，也要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已经从传统统计模型逐步扩展到机器学习和深度学习方法。Lohrasbinasab等[1]对相关方法进行了系统梳理，并指出数据驱动方法在复杂流量预测中的应用不断增加。网络规模扩大后，仅分析单一序列的时间变化已不足以覆盖OD变量之间的关联。Qin等[2]把图神经网络引入通信网络流量预测，在同一模型中处理空间关联和时间依赖；韦烜等[10]针对大型IP网络流量矩阵开展分析与预测，讨论了不同OD变量之间的关联及其时间变化。唐文杰等[11]则在CycleLLH模型中引入周期性信息。现有工作已经涉及时间依赖、变量关联和周期结构等多个方面，也为进一步分析不同时间分辨率下的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的特征并不一致。原始分辨率保留更多局部细节，短时起伏表现得更明显；时间聚合会削弱部分局部扰动，使较慢的变化趋势更容易观察。Zhou等[3]利用深度回声状态网络进行多尺度网络流量预测，通过不同时间分辨率提取互补信息。另一方面，模型结构开销也需要考虑。DLinear[4]采用时间序列分解和线性映射完成预测；TimeMixer[5]利用多尺度混合机制处理不同分辨率序列；LightTS[6]采用采样导向的MLP结构进行快速多变量时间序列预测。本文在这些工作的基础上，把关注点放在多时间尺度信息的利用与模型规模控制之间的平衡。</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问题在于，不同输入窗口的流量状态并不相同：某些窗口以短时波动为主，另一些窗口则表现为更平缓的趋势。输入状态变化时，尺度1、2和4对预测的作用也可能发生变化。只使用单一尺度会舍弃其他时间分辨率的信息，而长期采用固定融合比例又难以体现窗口之间的状态差异。基于这一现象，本文不仅构造多个时间尺度，还让各尺度在最终预测中的参与程度随当前输入样本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本文采用样本级自适应多尺度结构处理上述问题。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并设置DLinear、LightTS、固定等权多尺度模型、多个随机种子重复实验和路由权重分析，用于检验预测误差、核心结构消融和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方法把多尺度预测和尺度选择分成两个模块：尺度1、2和4的输入分别交给独立DLinear专家，路由网络根据当前窗口的统计特征估计3个尺度的融合权重。原始OD流量先进行对数变换和标准化，再形成3个时间分辨率的输入序列；3个专家得到候选预测后，由样本级权重完成融合。固定等权消融模型保留相同的尺度和专家，因此能够单独比较样本级权重带来的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pPr/>
      <w:r>
        <w:t>三个时间尺度保留的信息并不相同。原始尺度包含更多局部变化，较粗尺度经过时间聚合后削弱部分短时扰动，更突出较慢的变化趋势。只使用一个尺度会舍弃其他分辨率的信息；长期采用固定比例又不能随输入窗口变化。本文保留3个尺度的独立预测，再由路由网络确定每个样本的组合比例。DLinear结构较简洁，可在控制模型规模的同时承担各尺度的预测任务，使实验重点落在多尺度输入和样本级融合本身。</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记预处理后的多变量流量序列为 xt∈RC，其中t表示时间索引，C表示有效OD变量数。连续序列按时间滑动后形成监督学习样本。第n个样本包含历史窗口Xn和预测目标Yn：Xn覆盖连续L个时间点，Yn为紧随其后的H个时间点。模型据此利用多个OD变量过去L步的联合变化估计未来H步取值。第n个样本对应的输入与目标定义为</w:t>
      </w:r>
      <w:r>
        <w:rPr>
          <w:szCs w:val="21"/>
        </w:rPr>
      </w:r>
      <w:r>
        <w:rPr>
          <w:i/>
          <w:iCs/>
          <w:szCs w:val="21"/>
        </w:rPr>
      </w:r>
      <w:r>
        <w:rPr>
          <w:i/>
          <w:iCs/>
          <w:szCs w:val="21"/>
          <w:vertAlign w:val="subscript"/>
        </w:rPr>
      </w:r>
      <w:r>
        <w:rPr>
          <w:szCs w:val="21"/>
        </w:rPr>
      </w:r>
      <w:r>
        <w:rPr>
          <w:i/>
          <w:iCs/>
          <w:szCs w:val="21"/>
        </w:rPr>
      </w:r>
      <w:r>
        <w:rPr>
          <w:i/>
          <w:iCs/>
          <w:szCs w:val="21"/>
          <w:vertAlign w:val="superscript"/>
        </w:rPr>
      </w:r>
      <w:r>
        <w:rPr>
          <w:szCs w:val="21"/>
        </w:rPr>
      </w:r>
      <w:r>
        <w:rPr>
          <w:i/>
          <w:iCs/>
          <w:szCs w:val="21"/>
        </w:rPr>
      </w:r>
      <w:r>
        <w:rPr>
          <w:szCs w:val="21"/>
        </w:rPr>
      </w:r>
      <w:r>
        <w:rPr>
          <w:i/>
          <w:iCs/>
          <w:szCs w:val="21"/>
        </w:rPr>
      </w:r>
      <w:r>
        <w:rPr>
          <w:szCs w:val="21"/>
        </w:rPr>
      </w:r>
      <w:r>
        <w:rPr>
          <w:szCs w:val="21"/>
        </w:rPr>
      </w:r>
      <w:r>
        <w:rPr>
          <w:szCs w:val="21"/>
        </w:rPr>
      </w:r>
      <w:r>
        <w:rPr>
          <w:i/>
          <w:iCs/>
          <w:szCs w:val="21"/>
        </w:rPr>
      </w:r>
      <w:r>
        <w:rPr>
          <w:szCs w:val="21"/>
        </w:rPr>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设置输入长度L=96、预测长度H=24，变量数C由各数据集保留的有效OD维度确定，学习映射记为Ŷn=fθ(Xn)。L对应一次预测所使用的历史范围，H表示需要连续预测的未来长度。原始OD流量均为非负值，而且不同OD变量之间的量级差异较大。若直接以原始数值训练，较大范围的变量会使各维数据处在不一致的数值尺度上，因此先对原始流量vt,c作对数变换</w:t>
      </w:r>
      <w:r>
        <w:rPr>
          <w:i/>
          <w:iCs/>
          <w:szCs w:val="21"/>
        </w:rPr>
      </w:r>
      <w:r>
        <w:rPr>
          <w:szCs w:val="21"/>
        </w:rPr>
      </w:r>
      <w:r>
        <w:rPr>
          <w:szCs w:val="21"/>
        </w:rPr>
      </w:r>
      <w:r>
        <w:rPr>
          <w:i/>
          <w:iCs/>
          <w:szCs w:val="21"/>
        </w:rPr>
      </w:r>
      <w:r>
        <w:rPr>
          <w:szCs w:val="21"/>
        </w:rPr>
      </w:r>
      <w:r>
        <w:rPr>
          <w:szCs w:val="21"/>
        </w:rPr>
      </w:r>
      <w:r>
        <w:rPr>
          <w:i/>
          <w:iCs/>
          <w:szCs w:val="21"/>
        </w:rPr>
      </w:r>
      <w:r>
        <w:rPr>
          <w:szCs w:val="21"/>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b/>
          <w:bCs/>
          <w:i/>
          <w:iCs/>
          <w:szCs w:val="21"/>
        </w:rPr>
      </w:r>
      <w:r>
        <w:rPr>
          <w:i/>
          <w:iCs/>
          <w:szCs w:val="21"/>
          <w:vertAlign w:val="subscript"/>
        </w:rPr>
      </w:r>
      <w:r>
        <w:rPr>
          <w:szCs w:val="21"/>
        </w:rPr>
      </w:r>
      <w:r>
        <w:rPr>
          <w:szCs w:val="21"/>
        </w:rPr>
      </w:r>
      <w:r>
        <w:rPr>
          <w:i/>
          <w:iCs/>
          <w:szCs w:val="21"/>
        </w:rPr>
      </w:r>
      <w:r>
        <w:rPr>
          <w:i/>
          <w:iCs/>
          <w:szCs w:val="21"/>
          <w:vertAlign w:val="subscript"/>
        </w:rPr>
      </w:r>
      <w:r>
        <w:rPr>
          <w:szCs w:val="21"/>
        </w:rPr>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分别为第c个OD变量在训练集上的均值和标准差，验证集和测试集均使用训练阶段得到的统计量。log(1+x)先压缩非负流量的数值范围，同时保留流量大小关系；随后按变量标准化，使不同OD维度在相近的数值尺度上参与训练。前一步主要缓和原始流量的量级差异，后一步用于统一各变量参与损失计算和参数更新时的尺度。数据仍按时间顺序以6∶2∶2划分为训练集、验证集和测试集，各集合内部独立生成滑动窗口，避免窗口跨越不同数据划分边界。</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pPr/>
      <w:r>
        <w:t>经过上述处理后，每个输入样本仍保持原始时间分辨率。为了让后续专家同时观察细粒度变化和较平滑的趋势，需要进一步从同一历史窗口构造不同时间尺度的表示。</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尺度1、2和4分别配置一个DLinear专家[4]，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从而保持分解前后的时间长度一致：</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i/>
          <w:iCs/>
          <w:szCs w:val="21"/>
        </w:rPr>
      </w:r>
      <w:r w:rsidRPr="00B14FA3">
        <w:rPr>
          <w:szCs w:val="21"/>
        </w:rPr>
      </w:r>
      <w:r w:rsidRPr="00B14FA3">
        <w:rPr>
          <w:szCs w:val="21"/>
        </w:rPr>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由式（6）和式（7）可得到尺度s上的趋势项T(s)和余项R(s)。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r w:rsidRPr="00B14FA3">
        <w:rPr>
          <w:szCs w:val="21"/>
        </w:rPr>
      </w:r>
      <w:r w:rsidRPr="00B14FA3">
        <w:rPr>
          <w:szCs w:val="21"/>
        </w:rPr>
      </w:r>
      <w:r w:rsidRPr="00B14FA3">
        <w:rPr>
          <w:szCs w:val="21"/>
        </w:rPr>
      </w:r>
      <w:r w:rsidRPr="00B14FA3">
        <w:rPr>
          <w:szCs w:val="21"/>
        </w:rPr>
      </w:r>
      <w:r w:rsidRPr="00B14FA3">
        <w:rPr>
          <w:szCs w:val="21"/>
        </w:rPr>
      </w:r>
    </w:p>
    <w:p>
      <w:pPr/>
      <w:r>
        <w:t>采用DLinear作为尺度专家，主要是为了把预测主干与尺度融合的影响区分开。本文需要比较单尺度预测、固定等权多尺度和样本级自适应多尺度三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3个DLinear专家会针对同一样本给出3组预测结果，随后需要确定它们在最终输出中的占比。若始终令3个尺度均取1/3，就等价于假设所有输入窗口具有相同的尺度需求。但实际窗口的状态存在差别：局部波动较强时，细粒度信息可能更重要；变化较平稳时，较粗尺度中的趋势信息可能更有价值。为使融合比例能够随样本变化，本文从原始输入Xn提取四维统计向量zn=[μn,σn,ℓn,dn]，用这些统计量描述当前窗口状态，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描述输入窗口的总体水平、离散程度、最近状态和平均变化强度。μn反映窗口整体流量水平，σn刻画观测值的离散程度，ℓn取窗口末时刻的平均状态，dn由相邻时间点的一阶变化得到。这4个统计量分别提供水平、波动、最近状态和局部变化信息，供路由器判断当前样本更适合依赖哪些时间尺度，而不直接参与未来流量数值的预测。</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pPr/>
      <w:r>
        <w:t>四维向量输入隐藏维数为16的两层感知器，输出3个尺度的未归一化分数。路由器只需判断尺度的相对重要性，不需要再次完成完整的OD流量预测，因此本文未引入循环网络、注意力网络等额外时序编码器。使用低维统计量和较小隐藏层，也能把路由模块的参数规模控制在较低水平。其尺度分数计算为</w:t>
      </w:r>
    </w:p>
    <w:p w14:paraId="2935E851" w14:textId="77777777" w:rsidR="00B14FA3" w:rsidRPr="00B14FA3" w:rsidRDefault="00B14FA3" w:rsidP="00B14FA3">
      <w:pPr>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式（13）利用上述权重对3个DLinear专家的预测结果进行加权求和，得到最终预测Ŷn。该组权重由输入窗口计算，并由同一窗口内的全部OD变量共享。为了区分多尺度结构、非等权分配与样本相关分配的作用，设置两种共享相同专家的对照：固定等权模型将三个尺度恒定设为1/3；全局可学习权重模型以三个可训练参数经Softmax得到一组常权重，对所有窗口共用。后者与本文方法的差别集中在权重是否依赖输入窗口。</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三个尺度专家的固定等权模型包含8208个参数；增加三个全局权重参数后为8211个参数；样本级路由模型为8339个参数。路由网络相对固定等权模型增加131个参数，相对全局权重模型增加128个参数。各多尺度模型共享专家结构，因此全局权重对照可用于检验输入相关融合的额外作用。</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的计算过程可以概括为三个环节：平均池化把同一历史窗口转换为3个时间分辨率，DLinear专家分别给出候选预测，路由网络再根据原始窗口的4个统计量确定融合权重。多尺度序列决定模型从哪些时间分辨率读取历史信息，尺度专家完成各自的预测，路由网络只负责组合结果。后续实验据此设置单尺度DLinear、固定等权多尺度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按外部基线、核心消融和路由行为三个层次组织。DLinear和LightTS提供相同预测任务下的外部误差参照；固定等权、全局可学习常权重与样本级路由模型共享三个尺度专家，依次检验多尺度结构、非等权融合及输入相关权重的作用；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TS-Zoo[7]，包括1 h聚合的Abilene[8]和GÉANT[9]骨干网流量矩阵。Abilene共有4656个时间点，保留144维有效OD流量；GÉANT共有2849个时间点，去除恒定通道后保留524维有效OD流量。两者在序列长度和变量规模上差异较大，能够在相同预测流程下提供不同的数据条件。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实验不为各模型单独搜索最优超参数，而是在统一预测任务下控制数据与训练条件。DLinear、固定等权多尺度、全局可学习权重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外部基线比较使用随机种子42～44共3个共同随机种子。核心消融使用随机种子42～49共8个共同随机种子，比较DLinear、固定等权多尺度、全局可学习权重和本文方法。全局权重由等权初始化，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设置DLinear、LightTS、固定等权多尺度和全局可学习权重四类对照。DLinear用于比较单一尺度与多尺度结构；LightTS提供独立轻量模型基线。后两种多尺度对照与本文方法保留相同的尺度集合{1,2,4}和DLinear专家：固定等权模型始终按1/3融合，全局权重模型学习一组对所有窗口共用的Softmax权重。由此，全局权重模型与本文方法的比较更直接地检验输入相关权重是否带来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是MSE开方后的结果，可与误差幅值直接对照。正文以MSE和MAE作为主要比较指标，RMSE用于补充。表2统计随机种子42～44的均值±标准差，表3统计随机种子42～49的均值±标准差，同时给出平均水平和重复实验间的波动。</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相对DLinear分别降低4.06%和4.43%，相对LightTS分别降低29.89%和46.83%，MAE呈相同方向变化。DLinear与本文尺度专家采用同源结构，后续核心消融继续以它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聚焦独立外部基线LightTS，并使用两种方法共同具备的随机种子42～44。按（LightTS误差−本文方法误差）/LightTS误差计算每次实验的相对降低率后，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图2因此只承担外部结构基线比较，DLinear和固定等权模型的内部比较放在表3和图3中。</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两个数据集上的相对降幅并不相同。GÉANT包含的OD变量数高于Abilene，同时本文方法相对LightTS的MSE降幅也更大，但现有实验不能把这种差异直接归因于变量规模。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中的核心消融覆盖随机种子42～49，共重复8次。相对单尺度DLinear，本文方法在Abilene和GÉANT上的平均MSE分别降低2.77%和2.37%；相对固定等权模型，平均MSE分别降低1.67%和4.68%。新增的全局可学习权重模型允许尺度权重不等，但对全部窗口保持恒定。与该模型逐种子配对比较，本文方法的平均MSE改进率分别为1.80%和4.31%，分别在6/8和7/8个种子上胜出；t分布近似的95%置信区间分别为[0.01%,3.58%]和[−2.51%,11.13%]。Abilene优势较小，GÉANT区间跨越零，不能据此断言跨初始化稳定优于全局权重。</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图3汇总随机种子42～49下的相对改进结果，比较对象为DLinear和固定等权多尺度模型，指标包括MSE、MAE和RMSE。图中的散点对应单次随机种子实验，半小提琴表示8次结果的分布，圆点和误差线表示逐随机种子改进率的均值及95%置信区间，0%虚线表示两种方法误差相同。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都为正，但GÉANT在不同随机种子之间的波动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3306330"/>
            <wp:docPr id="24" name="Picture 24"/>
            <wp:cNvGraphicFramePr>
              <a:graphicFrameLocks noChangeAspect="1"/>
            </wp:cNvGraphicFramePr>
            <a:graphic>
              <a:graphicData uri="http://schemas.openxmlformats.org/drawingml/2006/picture">
                <pic:pic>
                  <pic:nvPicPr>
                    <pic:cNvPr id="0" name="fig5_relative_improvement_raincloud.png"/>
                    <pic:cNvPicPr/>
                  </pic:nvPicPr>
                  <pic:blipFill>
                    <a:blip r:embed="rId18"/>
                    <a:stretch>
                      <a:fillRect/>
                    </a:stretch>
                  </pic:blipFill>
                  <pic:spPr>
                    <a:xfrm>
                      <a:off x="0" y="0"/>
                      <a:ext cx="5715000" cy="3306330"/>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固定等权模型只能检验等权融合是否足够；全局可学习权重模型进一步控制了“权重不等”这一因素。表3显示，样本级路由在Abilene的6个种子、GÉANT的7个种子上取得较低MSE，但GÉANT种子43的MSE比全局权重模型高13.22%，使跨种子95%置信区间跨越零。为检查收益是否集中在少数OD通道，图4进一步统计每条通道在8个种子下相对全局权重模型的MSE胜出次数。</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4937760" cy="2955701"/>
            <wp:docPr id="27" name="Picture 27"/>
            <wp:cNvGraphicFramePr>
              <a:graphicFrameLocks noChangeAspect="1"/>
            </wp:cNvGraphicFramePr>
            <a:graphic>
              <a:graphicData uri="http://schemas.openxmlformats.org/drawingml/2006/picture">
                <pic:pic>
                  <pic:nvPicPr>
                    <pic:cNvPr id="0" name="option_D_channel_atlas.png"/>
                    <pic:cNvPicPr/>
                  </pic:nvPicPr>
                  <pic:blipFill>
                    <a:blip r:embed="rId23"/>
                    <a:stretch>
                      <a:fillRect/>
                    </a:stretch>
                  </pic:blipFill>
                  <pic:spPr>
                    <a:xfrm>
                      <a:off x="0" y="0"/>
                      <a:ext cx="4937760" cy="2955701"/>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样本级路由相对全局可学习权重模型的OD通道改善覆盖情况</w:t>
      </w:r>
      <w:r>
        <w:rPr>
          <w:rFonts w:eastAsia="黑体"/>
          <w:b/>
          <w:sz w:val="18"/>
          <w:szCs w:val="18"/>
        </w:rPr>
      </w:r>
      <w:r>
        <w:rPr>
          <w:rFonts w:eastAsia="黑体"/>
          <w:b/>
          <w:sz w:val="18"/>
          <w:szCs w:val="18"/>
        </w:rPr>
      </w:r>
      <w:r>
        <w:rPr>
          <w:rFonts w:eastAsia="黑体"/>
          <w:b/>
          <w:sz w:val="18"/>
          <w:szCs w:val="18"/>
        </w:rPr>
      </w:r>
    </w:p>
    <w:p>
      <w:pPr>
        <w:keepNext w:val="0"/>
        <w:keepLines/>
      </w:pPr>
      <w:r>
        <w:t>图4上排给出每条OD通道在8个随机种子中取得较低MSE的次数，下排按全局模型的通道MSE由低到高排列，并显示各通道的逐种子比较。Abilene的144条通道中有124条（86.1%）、GÉANT的524条通道中有410条（78.2%）在至少5个种子上改善。GÉANT仍有27条通道在8个种子中均未改善，种子43的负向结果也较集中。通道层面的覆盖范围为方法提供了补充证据，但不能消除初始化不稳定，也不能直接证明路由器按测试窗口识别尺度需求。</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5保留分布轮廓与散点。轮廓为8个种子均值的描述性平滑分布，彩色点对应种子42～49；细线表示各自窗口内权重的均值±1个标准差，并限于0～1。空心菱形及黑色误差线为跨种子均值及95%置信区间，水平虚线为固定等权1/3。</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303520" cy="2261795"/>
            <wp:docPr id="26" name="Picture 26"/>
            <wp:cNvGraphicFramePr>
              <a:graphicFrameLocks noChangeAspect="1"/>
            </wp:cNvGraphicFramePr>
            <a:graphic>
              <a:graphicData uri="http://schemas.openxmlformats.org/drawingml/2006/picture">
                <pic:pic>
                  <pic:nvPicPr>
                    <pic:cNvPr id="0" name="fig6_router_seedwise_realdata_compact.png"/>
                    <pic:cNvPicPr/>
                  </pic:nvPicPr>
                  <pic:blipFill>
                    <a:blip r:embed="rId21"/>
                    <a:stretch>
                      <a:fillRect/>
                    </a:stretch>
                  </pic:blipFill>
                  <pic:spPr>
                    <a:xfrm>
                      <a:off x="0" y="0"/>
                      <a:ext cx="5303520" cy="2261795"/>
                    </a:xfrm>
                    <a:prstGeom prst="rect"/>
                  </pic:spPr>
                </pic:pic>
              </a:graphicData>
            </a:graphic>
          </wp:inline>
        </w:drawing>
      </w:r>
    </w:p>
    <w:p>
      <w:pPr>
        <w:keepNext w:val="0"/>
        <w:keepLines/>
        <w:spacing w:before="60" w:after="80"/>
        <w:ind w:firstLine="0"/>
        <w:jc w:val="center"/>
      </w:pPr>
      <w:r>
        <w:rPr>
          <w:rFonts w:eastAsia="黑体"/>
          <w:b/>
          <w:sz w:val="18"/>
          <w:szCs w:val="18"/>
        </w:rPr>
        <w:t>图5 八随机种子下路由权重均值分布与窗口内标准差</w:t>
      </w:r>
    </w:p>
    <w:p>
      <w:pPr>
        <w:keepLines/>
      </w:pPr>
      <w:r>
        <w:rPr>
          <w:color w:val="000000"/>
          <w:szCs w:val="21"/>
        </w:rPr>
        <w:t>Abilene三个尺度的汇总平均权重为0.257、0.319和0.424，GÉANT为0.283、0.318和0.399。虽然总体均值偏离1/3，但GÉANT三个尺度的汇总权重方差约96.2%、95.8%和97.7%来自种子之间；同一种子内随测试窗口的变化较小。Abilene的对应比例为48.7%、86.1%和80.6%。因此，合并所有种子的权重分布不能单独证明路由器有效识别每个窗口的尺度需求。</w:t>
      </w:r>
    </w:p>
    <w:p w14:paraId="2B7D35DC" w14:textId="77777777" w:rsidR="00B14FA3" w:rsidRPr="00B14FA3" w:rsidRDefault="00B14FA3" w:rsidP="00B14FA3">
      <w:r>
        <w:rPr>
          <w:color w:val="000000"/>
          <w:szCs w:val="21"/>
        </w:rPr>
        <w:t>进一步以输入窗口平均绝对一阶差分衡量波动强度，并用训练窗口的三分位数阈值划分测试窗口。Abilene低、中、高波动组分别有15、406、392个窗口，本文方法相对全局权重模型的逐种子平均MSE改进率分别为4.43%、1.90%、1.69%；GÉANT在训练阈值下无低波动测试窗口，中、高组分别有76、375个窗口，改进率为5.85%和4.06%。Abilene高波动组的尺度1平均权重高于中波动组，但误差优势并未更强；GÉANT中、高组的权重近似相同。分组结果尚不支持“波动越强，路由收益越大”的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面向骨干网络OD流量中的短时波动和较慢趋势，以尺度1、2和4的DLinear专家构建多尺度预测，并通过轻量路由网络计算输入相关融合权重。在Abilene和GÉANT上，本文方法相对DLinear、LightTS和固定等权模型取得较低平均误差。加入全局可学习权重对照后，样本级路由的逐种子平均MSE改进率分别为1.80%和4.31%，但GÉANT的95%置信区间跨越零。通道层面，分别有86.1%和78.2%的OD通道在至少5个种子上改善。逐种子权重及波动分组分析也未能充分证明路由器稳定地匹配每个窗口的尺度需求。后续需在更多数据和预测设置下检验这种输入相关融合的稳定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