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与全局可学习固定权重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与全局可学习权重对照保留相同的尺度和专家，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全局可学习固定权重和样本级路由四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计算输入相关的尺度权重，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提供对输入相关权重更直接的性能对照，但路由器另有少量可训练参数。</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全局权重模型因此提供较接近的对照；两者仍有128个参数的差异，不能将全部误差差异直接归因于逐窗口加权。</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用于评估输入相关权重是否带来额外的预测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3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MSE的逐种子平均改进率分别为2.77%和2.35%；相对固定等权模型，MSE的逐种子平均改进率分别为1.65%和4.54%。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只能检验等权融合是否足够；全局可学习权重模型进一步控制了“权重不等”这一因素。表3显示，样本级路由在Abilene的6个种子、GÉANT的7个种子上取得较低MSE，但GÉANT种子43的MSE比全局权重模型高13.22%，使跨种子95%置信区间跨越零。图4进一步从OD通道和预测步两个维度检查这一差异的覆盖范围与边界。</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168623"/>
            <wp:docPr id="30" name="Picture 30"/>
            <wp:cNvGraphicFramePr>
              <a:graphicFrameLocks noChangeAspect="1"/>
            </wp:cNvGraphicFramePr>
            <a:graphic>
              <a:graphicData uri="http://schemas.openxmlformats.org/drawingml/2006/picture">
                <pic:pic>
                  <pic:nvPicPr>
                    <pic:cNvPr id="0" name="fig4_channel_horizon_v35.png"/>
                    <pic:cNvPicPr/>
                  </pic:nvPicPr>
                  <pic:blipFill>
                    <a:blip r:embed="rId26"/>
                    <a:stretch>
                      <a:fillRect/>
                    </a:stretch>
                  </pic:blipFill>
                  <pic:spPr>
                    <a:xfrm>
                      <a:off x="0" y="0"/>
                      <a:ext cx="5349240" cy="3168623"/>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样本级路由相对全局可学习权重模型的通道覆盖与预测步误差变化</w:t>
      </w:r>
      <w:r>
        <w:rPr>
          <w:rFonts w:eastAsia="黑体"/>
          <w:b/>
          <w:sz w:val="18"/>
          <w:szCs w:val="18"/>
        </w:rPr>
      </w:r>
      <w:r>
        <w:rPr>
          <w:rFonts w:eastAsia="黑体"/>
          <w:b/>
          <w:sz w:val="18"/>
          <w:szCs w:val="18"/>
        </w:rPr>
      </w:r>
      <w:r>
        <w:rPr>
          <w:rFonts w:eastAsia="黑体"/>
          <w:b/>
          <w:sz w:val="18"/>
          <w:szCs w:val="18"/>
        </w:rPr>
      </w:r>
    </w:p>
    <w:p>
      <w:pPr>
        <w:keepNext w:val="0"/>
        <w:keepLines/>
      </w:pPr>
      <w:r>
        <w:t>图4上排统计每条OD通道在8个共同随机种子中取得较低MSE的次数：Abilene的144条通道中有124条（86.1%）、GÉANT的524条通道中有410条（78.2%）在至少5个种子上改善；GÉANT仍有27条通道在8个种子中均未改善。下排逐种子计算相对全局权重模型的MSE降低率，浅线为单个种子，深线为8种子的逐步均值。Abilene在第1步平均降低28.70%，第24步转为升高19.36%；GÉANT第1步平均升高5.68%，第24步降低10.99%。两数据集分别有15/24和22/24个预测步的跨种子平均降低率为正。相邻预测步并非独立重复，图中曲线用于定位收益与失效区间，不能据此扩大显著性结论，也不能证明路由器按窗口识别尺度需求。</w:t>
      </w:r>
    </w:p>
    <w:p>
      <w:pPr>
        <w:keepNext w:val="0"/>
        <w:keepLines/>
      </w:pPr>
      <w:r>
        <w:t>模型规模之外，还需考察前向开销。对8个随机种子的预测长度24检查点，在NVIDIA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加入全局可学习权重对照后，样本级路由的逐种子平均MSE改进率分别为1.80%和4.31%，但GÉANT的95%置信区间跨越零。通道层面，分别有86.1%和78.2%的OD通道在至少5个种子上改善。预测步分解显示改善方向随位置变化，尤其Abilene的后段预测步出现误差升高。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