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输入长度96、预测长度24的Abilene和GÉANT实验中，3个共同随机种子下本文方法相对DLinear的MSE分别降低4.07%和4.54%，相对LightTS分别降低29.80%和46.89%。8个随机种子的核心消融进一步加入可学习的全局固定权重对照；本文方法相对该对照的逐种子平均MSE改进率分别为1.80%和4.31%，分别有6次和7次取得更低误差。GÉANT的配对95%置信区间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a learned global-weight baseline. The mean seed-wise MSE reductions of the adaptive router over this baseline are 1.80% and 4.31%, with improvements in six and seven of eight seeds, respectively. The paired 95% confidence interval for GÉANT includes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与全局可学习固定权重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与全局可学习权重对照保留相同的尺度和专家，用于分别比较等权、全局非等权与输入相关融合的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全局可学习固定权重和样本级路由四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计算输入相关的尺度权重，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仅计算三个尺度的融合分数，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两种共享相同专家的对照：固定等权模型将三个尺度恒定设为1/3；全局可学习权重模型以三个可训练参数经Softmax得到一组常权重，对所有窗口共用。后者提供对输入相关权重更直接的性能对照，但路由器另有少量可训练参数。</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为8339个参数。路由网络相对固定等权模型增加131个参数，相对全局权重模型增加128个参数。各多尺度模型共享专家结构，全局权重模型因此提供较接近的对照；两者仍有128个参数的差异，不能将全部误差差异直接归因于逐窗口加权。</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和本文方法。全局权重由等权初始化，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和全局可学习权重四类对照。DLinear用于比较单一尺度与多尺度结构；LightTS提供独立轻量模型基线。后两种多尺度对照与本文方法保留相同的尺度集合{1,2,4}和DLinear专家：固定等权模型始终按1/3融合，全局权重模型学习一组对所有窗口共用的Softmax权重。由此，全局权重模型与本文方法的比较用于评估输入相关权重是否带来额外的预测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同时给出平均水平和重复实验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放在表3和图3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相对单尺度DLinear，本文方法在Abilene和GÉANT上的MSE的逐种子平均改进率分别为2.77%和2.35%；相对固定等权模型，MSE的逐种子平均改进率分别为1.65%和4.54%。新增的全局可学习权重模型允许尺度权重不等，但对全部窗口保持恒定。与该模型逐种子配对比较，本文方法的平均MSE改进率分别为1.80%和4.31%，分别在6/8和7/8个种子上胜出；t分布近似的95%置信区间分别为[0.01%,3.58%]和[−2.51%,11.13%]。Abilene优势较小，GÉANT区间跨越零，不能据此断言跨初始化稳定优于全局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汇总随机种子42～49下的相对改进结果，比较对象为DLinear和固定等权多尺度模型，指标包括MSE、MAE和RMSE。图中的散点对应单次随机种子实验，半小提琴以平滑轮廓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只能检验等权融合是否足够；全局可学习权重模型进一步控制了“权重不等”这一因素。表3显示，样本级路由在Abilene的6个种子、GÉANT的7个种子上取得较低MSE，但GÉANT种子43的MSE比全局权重模型高13.22%，使跨种子95%置信区间跨越零。图4进一步考察不同真实流量水平下各模型的平均预测偏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2467569"/>
            <wp:docPr id="30" name="Picture 30"/>
            <wp:cNvGraphicFramePr>
              <a:graphicFrameLocks noChangeAspect="1"/>
            </wp:cNvGraphicFramePr>
            <a:graphic>
              <a:graphicData uri="http://schemas.openxmlformats.org/drawingml/2006/picture">
                <pic:pic>
                  <pic:nvPicPr>
                    <pic:cNvPr id="0" name="B_全测试点预测校准_8种子.png"/>
                    <pic:cNvPicPr/>
                  </pic:nvPicPr>
                  <pic:blipFill>
                    <a:blip r:embed="rId27"/>
                    <a:stretch>
                      <a:fillRect/>
                    </a:stretch>
                  </pic:blipFill>
                  <pic:spPr>
                    <a:xfrm>
                      <a:off x="0" y="0"/>
                      <a:ext cx="5349240" cy="2467569"/>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Abilene与GÉANT全测试点的八随机种子预测校准比较</w:t>
      </w:r>
      <w:r>
        <w:rPr>
          <w:rFonts w:eastAsia="黑体"/>
          <w:b/>
          <w:sz w:val="18"/>
          <w:szCs w:val="18"/>
        </w:rPr>
      </w:r>
      <w:r>
        <w:rPr>
          <w:rFonts w:eastAsia="黑体"/>
          <w:b/>
          <w:sz w:val="18"/>
          <w:szCs w:val="18"/>
        </w:rPr>
      </w:r>
      <w:r>
        <w:rPr>
          <w:rFonts w:eastAsia="黑体"/>
          <w:b/>
          <w:sz w:val="18"/>
          <w:szCs w:val="18"/>
        </w:rPr>
      </w:r>
    </w:p>
    <w:p>
      <w:pPr>
        <w:keepNext w:val="0"/>
        <w:keepLines/>
      </w:pPr>
      <w:r>
        <w:t>图4使用随机种子42～49的全部测试窗口、24个预测步和有效OD通道，将每个数据集的真实值按分位点划为最多40个区间，并对重复边界合并。横轴为区间内真实值均值，纵轴为对应的预测值均值；各模型实线表示8个随机种子的平均预测值，浅色带表示种子间±1个标准差，虚线为预测均值与真实值相等。三种模型在较高真实值区域均存在低估；本文方法的平均预测曲线在高值端相对两类对照更接近虚线，但偏差仍然明显。该图展示的是按真实值分组后的平均偏差，不能代表逐点误差分布；相互重叠的测试窗口也不能视为独立重复，总体预测精度仍以表3的配对结果为准。</w:t>
      </w:r>
    </w:p>
    <w:p>
      <w:pPr>
        <w:keepNext w:val="0"/>
        <w:keepLines/>
      </w:pPr>
      <w:r>
        <w:t>模型规模之外，还需考察前向开销。对8个随机种子的预测长度24检查点，在NVIDIA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预测长度24的Abilene和GÉANT任务上，本文方法相对DLinear、LightTS和固定等权模型取得较低平均误差。加入全局可学习权重对照后，样本级路由的逐种子平均MSE改进率分别为1.80%和4.31%，但GÉANT的95%置信区间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