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59A33F" w14:textId="77777777" w:rsidR="00B14FA3" w:rsidRPr="00B14FA3" w:rsidRDefault="00B14FA3" w:rsidP="00B14FA3">
      <w:pPr>
        <w:spacing w:after="60"/>
        <w:ind w:firstLine="0"/>
        <w:jc w:val="center"/>
      </w:pPr>
      <w:bookmarkStart w:id="0" w:name="OLE_LINK1"/>
      <w:r w:rsidRPr="00B14FA3">
        <w:rPr>
          <w:rFonts w:ascii="Arial" w:eastAsia="黑体" w:hAnsi="Arial" w:cs="Arial"/>
          <w:b/>
          <w:color w:val="000000"/>
          <w:sz w:val="36"/>
          <w:szCs w:val="36"/>
        </w:rPr>
        <w:t>基于自适应多尺度加权的多变量网络流量预测方法</w:t>
      </w:r>
    </w:p>
    <w:bookmarkEnd w:id="0"/>
    <w:p w14:paraId="57D86241" w14:textId="77777777" w:rsidR="00B14FA3" w:rsidRPr="00B14FA3" w:rsidRDefault="00B14FA3" w:rsidP="00B14FA3">
      <w:pPr>
        <w:ind w:firstLine="0"/>
        <w:jc w:val="center"/>
      </w:pPr>
      <w:r w:rsidRPr="00B14FA3">
        <w:rPr>
          <w:rFonts w:ascii="楷体" w:eastAsia="楷体" w:hAnsi="楷体" w:cs="楷体"/>
          <w:color w:val="000000"/>
          <w:szCs w:val="21"/>
        </w:rPr>
        <w:t>[请填写作者姓名]</w:t>
      </w:r>
    </w:p>
    <w:p w14:paraId="233E4490" w14:textId="77777777" w:rsidR="00B14FA3" w:rsidRPr="00B14FA3" w:rsidRDefault="00B14FA3" w:rsidP="00B14FA3">
      <w:pPr>
        <w:ind w:firstLine="0"/>
        <w:jc w:val="center"/>
      </w:pP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请填写工作单位</w:t>
      </w:r>
      <w:r w:rsidRPr="00B14FA3">
        <w:rPr>
          <w:rFonts w:eastAsia="楷体"/>
          <w:color w:val="000000"/>
          <w:sz w:val="18"/>
          <w:szCs w:val="18"/>
        </w:rPr>
        <w:t>] [</w:t>
      </w:r>
      <w:r w:rsidRPr="00B14FA3">
        <w:rPr>
          <w:rFonts w:eastAsia="楷体"/>
          <w:color w:val="000000"/>
          <w:sz w:val="18"/>
          <w:szCs w:val="18"/>
        </w:rPr>
        <w:t>请填写部门</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w:t>
      </w:r>
      <w:r w:rsidRPr="00B14FA3">
        <w:rPr>
          <w:rFonts w:eastAsia="楷体"/>
          <w:color w:val="000000"/>
          <w:sz w:val="18"/>
          <w:szCs w:val="18"/>
        </w:rPr>
        <w:t>省</w:t>
      </w:r>
      <w:r w:rsidRPr="00B14FA3">
        <w:rPr>
          <w:rFonts w:eastAsia="楷体"/>
          <w:color w:val="000000"/>
          <w:sz w:val="18"/>
          <w:szCs w:val="18"/>
        </w:rPr>
        <w:t xml:space="preserve"> </w:t>
      </w:r>
      <w:r w:rsidRPr="00B14FA3">
        <w:rPr>
          <w:rFonts w:eastAsia="楷体"/>
          <w:color w:val="000000"/>
          <w:sz w:val="18"/>
          <w:szCs w:val="18"/>
        </w:rPr>
        <w:t>市</w:t>
      </w:r>
      <w:r w:rsidRPr="00B14FA3">
        <w:rPr>
          <w:rFonts w:eastAsia="楷体"/>
          <w:color w:val="000000"/>
          <w:sz w:val="18"/>
          <w:szCs w:val="18"/>
        </w:rPr>
        <w:t xml:space="preserve"> </w:t>
      </w:r>
      <w:r w:rsidRPr="00B14FA3">
        <w:rPr>
          <w:rFonts w:eastAsia="楷体"/>
          <w:color w:val="000000"/>
          <w:sz w:val="18"/>
          <w:szCs w:val="18"/>
        </w:rPr>
        <w:t>邮编</w:t>
      </w:r>
      <w:r w:rsidRPr="00B14FA3">
        <w:rPr>
          <w:rFonts w:eastAsia="楷体"/>
          <w:color w:val="000000"/>
          <w:sz w:val="18"/>
          <w:szCs w:val="18"/>
        </w:rPr>
        <w:t>]</w:t>
      </w:r>
      <w:r w:rsidRPr="00B14FA3">
        <w:rPr>
          <w:rFonts w:eastAsia="楷体"/>
          <w:color w:val="000000"/>
          <w:sz w:val="18"/>
          <w:szCs w:val="18"/>
        </w:rPr>
        <w:t>）</w:t>
      </w:r>
    </w:p>
    <w:p w14:paraId="26D8FFD6" w14:textId="77777777" w:rsidR="00B14FA3" w:rsidRPr="00B14FA3" w:rsidRDefault="00B14FA3" w:rsidP="00B14FA3">
      <w:r>
        <w:rPr>
          <w:b/>
          <w:bCs/>
          <w:color w:val="000000"/>
        </w:rPr>
        <w:t>摘要：骨干网络源—目的节点对流量同时包含短时起伏与较慢趋势，单一时间分辨率难以兼顾。本文采用尺度1、2和4的DLinear专家，并由输入窗口统计量驱动的轻量路由网络计算Softmax融合权重。在输入长度96、预测长度24的Abilene和GÉANT实验中，3个共同随机种子下本文方法相对DLinear的MSE分别降低4.07%和4.54%，相对LightTS分别降低29.80%和46.89%。8个随机种子的核心消融进一步加入可学习的全局固定权重对照；本文方法相对该对照的逐种子平均MSE改进率分别为1.80%和4.31%，分别有6次和7次取得更低误差。GÉANT的配对95%置信区间跨越零，且路由权重变化主要来自随机种子之间，因此当前结果支持平均误差改善，但尚不能证明路由器稳定识别每个窗口的最佳尺度。</w:t>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r>
        <w:rPr>
          <w:color w:val="000000"/>
        </w:rPr>
      </w:r>
    </w:p>
    <w:p w14:paraId="6DDB7F12" w14:textId="77777777" w:rsidR="00B14FA3" w:rsidRPr="00B14FA3" w:rsidRDefault="00B14FA3" w:rsidP="00B14FA3">
      <w:pPr>
        <w:ind w:firstLine="0"/>
      </w:pPr>
      <w:r>
        <w:rPr>
          <w:rFonts w:eastAsia="黑体"/>
          <w:b/>
        </w:rPr>
        <w:t>关键词：</w:t>
      </w:r>
      <w:r>
        <w:t>网络流量预测；多变量时间序列；多尺度学习；自适应加权；</w:t>
      </w:r>
      <w:r>
        <w:t>DLinear</w:t>
      </w:r>
    </w:p>
    <w:p w14:paraId="18A6B693" w14:textId="77777777" w:rsidR="00B14FA3" w:rsidRPr="00B14FA3" w:rsidRDefault="00B14FA3" w:rsidP="00B14FA3">
      <w:pPr>
        <w:ind w:firstLine="0"/>
      </w:pPr>
      <w:r w:rsidRPr="00B14FA3">
        <w:rPr>
          <w:rFonts w:eastAsia="黑体"/>
          <w:b/>
        </w:rPr>
        <w:t>中图分类号：</w:t>
      </w:r>
      <w:r w:rsidRPr="00B14FA3">
        <w:t>TP393</w:t>
      </w:r>
      <w:r w:rsidRPr="00B14FA3">
        <w:t xml:space="preserve">　　</w:t>
      </w:r>
      <w:r w:rsidRPr="00B14FA3">
        <w:rPr>
          <w:rFonts w:eastAsia="黑体"/>
          <w:b/>
        </w:rPr>
        <w:t>文献标志码：</w:t>
      </w:r>
      <w:r w:rsidRPr="00B14FA3">
        <w:t>A</w:t>
      </w:r>
    </w:p>
    <w:p w14:paraId="4EB6E192" w14:textId="77777777" w:rsidR="00B14FA3" w:rsidRPr="00B14FA3" w:rsidRDefault="00B14FA3" w:rsidP="00B14FA3">
      <w:pPr>
        <w:spacing w:after="60"/>
        <w:ind w:firstLine="0"/>
        <w:jc w:val="center"/>
      </w:pPr>
      <w:r w:rsidRPr="00B14FA3">
        <w:rPr>
          <w:rFonts w:eastAsia="黑体"/>
          <w:b/>
          <w:sz w:val="28"/>
        </w:rPr>
        <w:t>A Multivariate Network Traffic Forecasting Method Based on Adaptive Multiscale Weighting</w:t>
      </w:r>
    </w:p>
    <w:p w14:paraId="58F87268" w14:textId="77777777" w:rsidR="00B14FA3" w:rsidRPr="00B14FA3" w:rsidRDefault="00B14FA3" w:rsidP="00B14FA3">
      <w:pPr>
        <w:ind w:firstLine="0"/>
        <w:jc w:val="center"/>
      </w:pPr>
      <w:r w:rsidRPr="00B14FA3">
        <w:t>[Author Name]</w:t>
      </w:r>
    </w:p>
    <w:p w14:paraId="4E49EDDA" w14:textId="77777777" w:rsidR="00B14FA3" w:rsidRPr="00B14FA3" w:rsidRDefault="00B14FA3" w:rsidP="00B14FA3">
      <w:pPr>
        <w:jc w:val="center"/>
      </w:pPr>
      <w:r w:rsidRPr="00B14FA3">
        <w:t>([Affiliation] [Department], [City] [Postcode], China; Corresponding author: [Name], E-mail: [E-mail])</w:t>
      </w:r>
    </w:p>
    <w:p w14:paraId="05369785" w14:textId="77777777" w:rsidR="00B14FA3" w:rsidRPr="00B14FA3" w:rsidRDefault="00B14FA3" w:rsidP="00B14FA3">
      <w:r>
        <w:rPr>
          <w:rFonts w:eastAsia="Times New Roman"/>
          <w:b/>
          <w:bCs/>
          <w:color w:val="000000"/>
        </w:rPr>
        <w:t>Abstract: Backbone origin-destination traffic contains both short-term fluctuations and slower trends. We combine DLinear experts at scales 1, 2, and 4 using Softmax weights generated from input-window statistics. With input length 96 and forecast length 24, the method reduces MSE on Abilene and GÉANT relative to DLinear by 4.07% and 4.54%, and relative to LightTS by 29.80% and 46.89%, over three common random seeds. An eight-seed ablation adds a learned global-weight baseline. The mean seed-wise MSE reductions of the adaptive router over this baseline are 1.80% and 4.31%, with improvements in six and seven of eight seeds, respectively. The paired 95% confidence interval for GÉANT includes zero, and most of its pooled router-weight variance arises between seeds. Thus, the observed average error reduction does not yet establish reliable window-specific scale selection.</w:t>
      </w:r>
      <w:r>
        <w:rPr>
          <w:rFonts w:eastAsia="Times New Roman"/>
          <w:color w:val="000000"/>
        </w:rPr>
      </w:r>
    </w:p>
    <w:p w14:paraId="1A5F7C32" w14:textId="77777777" w:rsidR="00B14FA3" w:rsidRPr="00B14FA3" w:rsidRDefault="00B14FA3" w:rsidP="00B14FA3">
      <w:pPr>
        <w:ind w:firstLine="0"/>
      </w:pPr>
      <w:r>
        <w:rPr>
          <w:rFonts w:eastAsia="Times New Roman"/>
          <w:b/>
          <w:bCs/>
          <w:color w:val="000000"/>
        </w:rPr>
        <w:t xml:space="preserve">Key words: </w:t>
      </w:r>
      <w:r>
        <w:rPr>
          <w:rFonts w:eastAsia="Times New Roman"/>
          <w:color w:val="000000"/>
        </w:rPr>
        <w:t>network traffic forecasting; multivariate time series; multiscale learning; adaptive weighting; DLinear</w:t>
      </w:r>
    </w:p>
    <w:p w14:paraId="5C2C4A73" w14:textId="77777777" w:rsidR="00B14FA3" w:rsidRPr="00B14FA3" w:rsidRDefault="00B14FA3" w:rsidP="00B14FA3">
      <w:pPr>
        <w:rPr>
          <w:color w:val="000000"/>
        </w:rPr>
      </w:pPr>
    </w:p>
    <w:p w14:paraId="2A311823" w14:textId="77777777" w:rsidR="00B14FA3" w:rsidRPr="00B14FA3" w:rsidRDefault="00B14FA3" w:rsidP="00B14FA3">
      <w:pPr>
        <w:rPr>
          <w:color w:val="000000"/>
        </w:rPr>
      </w:pPr>
      <w:r>
        <w:rPr>
          <w:color w:val="000000"/>
          <w:szCs w:val="21"/>
        </w:rPr>
        <w:t>骨干网络中的源—目的节点对（origin-destination，OD）流量直接反映不同节点对之间的通信需求。随着云计算、视频业务、数据中心互联及智能网络应用持续增加，业务在网络内部的迁移和聚集更加频繁，OD流量的时间变化也更复杂。容量规划、拥塞预警、资源调度和流量工程都需要对后续流量状态作出判断，提前获得后一时段的OD流量估计有助于网络管理系统预先调整资源。与较平稳的单变量序列相比，OD流量中往往同时存在周期变化、局部波动和突发变化，不同OD变量的数值范围也有明显差异，因此预测模型既要描述较长时间范围内的变化趋势，也要保留对短时状态变化的响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网络流量预测已经从传统统计模型逐步扩展到机器学习和深度学习方法。Lohrasbinasab等[1]对相关方法进行了系统梳理，并指出数据驱动方法在复杂流量预测中的应用不断增加。网络规模扩大后，仅分析单一序列的时间变化已不足以覆盖OD变量之间的关联。Qin等[2]把图神经网络引入通信网络流量预测，在同一模型中处理空间关联和时间依赖；韦烜等[10]针对大型IP网络流量矩阵开展分析与预测，讨论了不同OD变量之间的关联及其时间变化。唐文杰等[11]则在CycleLLH模型中引入周期性信息。现有工作已经涉及时间依赖、变量关联和周期结构等多个方面，也为进一步分析不同时间分辨率下的流量变化提供了基础。</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877C1F2" w14:textId="77777777" w:rsidR="00B14FA3" w:rsidRPr="00B14FA3" w:rsidRDefault="00B14FA3" w:rsidP="00B14FA3">
      <w:pPr>
        <w:rPr>
          <w:color w:val="000000"/>
        </w:rPr>
      </w:pPr>
      <w:r>
        <w:rPr>
          <w:color w:val="000000"/>
          <w:szCs w:val="21"/>
        </w:rPr>
        <w:t>同一段网络流量在不同时间分辨率下呈现的特征并不一致。原始分辨率保留更多局部细节，短时起伏表现得更明显；时间聚合会削弱部分局部扰动，使较慢的变化趋势更容易观察。Zhou等[3]利用深度回声状态网络进行多尺度网络流量预测，通过不同时间分辨率提取互补信息。另一方面，模型结构开销也需要考虑。DLinear[4]采用时间序列分解和线性映射完成预测；TimeMixer[5]利用多尺度混合机制处理不同分辨率序列；LightTS[6]采用采样导向的MLP结构进行快速多变量时间序列预测。本文在这些工作的基础上，把关注点放在多时间尺度信息的利用与模型规模控制之间的平衡。</w:t>
      </w:r>
    </w:p>
    <w:p w14:paraId="65582279" w14:textId="77777777" w:rsidR="00B14FA3" w:rsidRPr="00B14FA3" w:rsidRDefault="00B14FA3" w:rsidP="00B14FA3">
      <w:pPr>
        <w:rPr>
          <w:color w:val="000000"/>
        </w:rPr>
      </w:pPr>
      <w:r>
        <w:rPr>
          <w:color w:val="000000"/>
          <w:szCs w:val="21"/>
        </w:rPr>
        <w:t>多尺度方法通常先给定若干时间尺度，再把各尺度结果按既定方式融合。问题在于，不同输入窗口的流量状态并不相同：某些窗口以短时波动为主，另一些窗口则表现为更平缓的趋势。输入状态变化时，尺度1、2和4对预测的作用也可能发生变化。只使用单一尺度会舍弃其他时间分辨率的信息，而长期采用固定融合比例又难以体现窗口之间的状态差异。基于这一现象，本文不仅构造多个时间尺度，还让各尺度在最终预测中的参与程度随当前输入样本变化。</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12F79B1" w14:textId="77777777" w:rsidR="00B14FA3" w:rsidRPr="00B14FA3" w:rsidRDefault="00B14FA3" w:rsidP="00B14FA3"/>
    <w:p>
      <w:pPr/>
      <w:r>
        <w:t>本文采用样本级自适应多尺度结构处理上述问题。历史窗口按尺度1、2和4构造多分辨率序列，每个尺度由一个DLinear专家给出候选预测。路由网络不重新编码完整时序，而是读取当前输入窗口的总体水平、离散程度、最近状态和变化强度等统计量，生成Softmax尺度权重，并据此融合三个专家的结果。这样可以把尺度内预测与尺度间选择分开处理。实验在Abilene和GÉANT两个公开骨干网数据集上进行，并设置DLinear、LightTS、固定等权与全局可学习固定权重模型、多个随机种子重复实验和路由权重分析，用于检验预测误差、核心结构消融和尺度分配行为。</w:t>
      </w:r>
    </w:p>
    <w:p w14:paraId="155C26D6"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1 </w:t>
      </w:r>
      <w:r w:rsidRPr="00B14FA3">
        <w:rPr>
          <w:rFonts w:ascii="Arial" w:eastAsia="黑体" w:hAnsi="Arial"/>
          <w:b/>
          <w:color w:val="000000"/>
          <w:kern w:val="0"/>
          <w:sz w:val="24"/>
          <w:szCs w:val="20"/>
        </w:rPr>
        <w:t>自适应多尺度网络流量预测方法</w:t>
      </w:r>
    </w:p>
    <w:p w14:paraId="0B4AA7AE" w14:textId="77777777" w:rsidR="00B14FA3" w:rsidRPr="00B14FA3" w:rsidRDefault="00B14FA3" w:rsidP="00B14FA3">
      <w:r>
        <w:rPr>
          <w:color w:val="000000"/>
          <w:szCs w:val="21"/>
        </w:rPr>
        <w:t>图1给出模型的整体流程。方法把多尺度预测和尺度选择分成两个模块：尺度1、2和4的输入分别交给独立DLinear专家，路由网络根据当前窗口的统计特征估计3个尺度的融合权重。原始OD流量先进行对数变换和标准化，再形成3个时间分辨率的输入序列；3个专家得到候选预测后，由样本级权重完成融合。固定等权与全局可学习权重对照保留相同的尺度和专家，用于分别比较等权、全局非等权与输入相关融合的结果。</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4A0F6536" w14:textId="77777777" w:rsidR="00B14FA3" w:rsidRPr="00B14FA3" w:rsidRDefault="00B14FA3" w:rsidP="00B14FA3">
      <w:pPr>
        <w:keepNext/>
        <w:spacing w:before="60"/>
        <w:ind w:firstLine="0"/>
        <w:jc w:val="center"/>
      </w:pPr>
      <w:r w:rsidRPr="00B14FA3">
        <w:rPr>
          <w:noProof/>
        </w:rPr>
        <w:drawing>
          <wp:inline distT="0" distB="0" distL="0" distR="0" wp14:anchorId="0702D61E" wp14:editId="2DE249BE">
            <wp:extent cx="5829300" cy="3276600"/>
            <wp:effectExtent l="0" t="0" r="0" b="0"/>
            <wp:docPr id="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829300" cy="3276600"/>
                    </a:xfrm>
                    <a:prstGeom prst="rect">
                      <a:avLst/>
                    </a:prstGeom>
                    <a:noFill/>
                    <a:ln>
                      <a:noFill/>
                    </a:ln>
                  </pic:spPr>
                </pic:pic>
              </a:graphicData>
            </a:graphic>
          </wp:inline>
        </w:drawing>
      </w:r>
    </w:p>
    <w:p w14:paraId="4BAAA424" w14:textId="77777777" w:rsidR="00B14FA3" w:rsidRPr="00B14FA3" w:rsidRDefault="00B14FA3" w:rsidP="00B14FA3">
      <w:pPr>
        <w:keepLines/>
        <w:spacing w:before="60" w:after="80"/>
        <w:ind w:firstLine="0"/>
        <w:jc w:val="center"/>
      </w:pPr>
      <w:r>
        <w:rPr>
          <w:rFonts w:eastAsia="黑体"/>
          <w:b/>
          <w:sz w:val="18"/>
          <w:szCs w:val="18"/>
        </w:rPr>
        <w:t>图</w:t>
      </w:r>
      <w:r>
        <w:rPr>
          <w:rFonts w:eastAsia="黑体"/>
          <w:b/>
          <w:sz w:val="18"/>
          <w:szCs w:val="18"/>
        </w:rPr>
        <w:t xml:space="preserve">1 </w:t>
      </w:r>
      <w:r>
        <w:rPr>
          <w:rFonts w:eastAsia="黑体"/>
          <w:b/>
          <w:sz w:val="18"/>
          <w:szCs w:val="18"/>
        </w:rPr>
        <w:t>自适应多尺度网络流量预测方法框架</w:t>
      </w:r>
    </w:p>
    <w:p>
      <w:pPr/>
      <w:r>
        <w:t>三个时间尺度保留的信息并不相同。原始尺度包含更多局部变化，较粗尺度经过时间聚合后削弱部分短时扰动，更突出较慢的变化趋势。只使用一个尺度会舍弃其他分辨率的信息；长期采用固定比例又不能随输入窗口变化。本文保留3个尺度的独立预测，再由路由网络确定每个样本的组合比例。DLinear结构较简洁，可在控制模型规模的同时承担各尺度的预测任务，使实验重点落在多尺度输入和样本级融合本身。</w:t>
      </w:r>
    </w:p>
    <w:p w14:paraId="6C67E13A"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ascii="Arial" w:eastAsia="黑体" w:hAnsi="Arial"/>
          <w:b/>
          <w:bCs/>
          <w:color w:val="000000"/>
          <w:szCs w:val="21"/>
        </w:rPr>
        <w:t xml:space="preserve">1.1 </w:t>
      </w:r>
      <w:r w:rsidRPr="00B14FA3">
        <w:rPr>
          <w:rFonts w:eastAsia="黑体"/>
          <w:b/>
          <w:bCs/>
          <w:szCs w:val="21"/>
        </w:rPr>
        <w:t>问题定义与数据预处理</w:t>
      </w:r>
    </w:p>
    <w:p w14:paraId="68385A57" w14:textId="77777777" w:rsidR="00B14FA3" w:rsidRPr="00B14FA3" w:rsidRDefault="00B14FA3" w:rsidP="00B14FA3">
      <w:pPr>
        <w:spacing w:line="360" w:lineRule="auto"/>
      </w:pPr>
      <w:r>
        <w:rPr>
          <w:szCs w:val="21"/>
        </w:rPr>
        <w:t>记预处理后的多变量流量序列为 xt∈RC，其中t表示时间索引，C表示有效OD变量数。连续序列按时间滑动后形成监督学习样本。第n个样本包含历史窗口Xn和预测目标Yn：Xn覆盖连续L个时间点，Yn为紧随其后的H个时间点。模型据此利用多个OD变量过去L步的联合变化估计未来H步取值。第n个样本对应的输入与目标定义为</w:t>
      </w:r>
      <w:r>
        <w:rPr>
          <w:szCs w:val="21"/>
        </w:rPr>
      </w:r>
      <w:r>
        <w:rPr>
          <w:i/>
          <w:iCs/>
          <w:szCs w:val="21"/>
        </w:rPr>
      </w:r>
      <w:r>
        <w:rPr>
          <w:i/>
          <w:iCs/>
          <w:szCs w:val="21"/>
          <w:vertAlign w:val="subscript"/>
        </w:rPr>
      </w:r>
      <w:r>
        <w:rPr>
          <w:szCs w:val="21"/>
        </w:rPr>
      </w:r>
      <w:r>
        <w:rPr>
          <w:i/>
          <w:iCs/>
          <w:szCs w:val="21"/>
        </w:rPr>
      </w:r>
      <w:r>
        <w:rPr>
          <w:i/>
          <w:iCs/>
          <w:szCs w:val="21"/>
          <w:vertAlign w:val="superscript"/>
        </w:rPr>
      </w:r>
      <w:r>
        <w:rPr>
          <w:szCs w:val="21"/>
        </w:rPr>
      </w:r>
      <w:r>
        <w:rPr>
          <w:i/>
          <w:iCs/>
          <w:szCs w:val="21"/>
        </w:rPr>
      </w:r>
      <w:r>
        <w:rPr>
          <w:szCs w:val="21"/>
        </w:rPr>
      </w:r>
      <w:r>
        <w:rPr>
          <w:i/>
          <w:iCs/>
          <w:szCs w:val="21"/>
        </w:rPr>
      </w:r>
      <w:r>
        <w:rPr>
          <w:szCs w:val="21"/>
        </w:rPr>
      </w:r>
      <w:r>
        <w:rPr>
          <w:szCs w:val="21"/>
        </w:rPr>
      </w:r>
      <w:r>
        <w:rPr>
          <w:szCs w:val="21"/>
        </w:rPr>
      </w:r>
      <w:r>
        <w:rPr>
          <w:i/>
          <w:iCs/>
          <w:szCs w:val="21"/>
        </w:rPr>
      </w:r>
      <w:r>
        <w:rPr>
          <w:szCs w:val="21"/>
        </w:rPr>
      </w:r>
    </w:p>
    <w:p w14:paraId="54EEA79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lastRenderedPageBreak/>
        <w:tab/>
      </w:r>
      <m:oMath>
        <m:sSub>
          <m:sSubPr>
            <m:ctrlPr>
              <w:rPr>
                <w:rFonts w:ascii="Cambria Math" w:eastAsia="Cambria Math" w:hAnsi="Cambria Math"/>
                <w:i/>
              </w:rPr>
            </m:ctrlPr>
          </m:sSubPr>
          <m:e>
            <m:r>
              <m:rPr>
                <m:sty m:val="bi"/>
              </m:rP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L×C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w:t>
      </w:r>
    </w:p>
    <w:p w14:paraId="629FA8C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Y</m:t>
            </m:r>
          </m:e>
          <m:sub>
            <m:r>
              <w:rPr>
                <w:rFonts w:ascii="Cambria Math" w:eastAsia="Cambria Math" w:hAnsi="Cambria Math"/>
                <w:kern w:val="0"/>
                <w:szCs w:val="20"/>
              </w:rPr>
              <m:t>n</m:t>
            </m:r>
          </m:sub>
        </m:sSub>
        <m:r>
          <w:rPr>
            <w:rFonts w:ascii="Cambria Math" w:eastAsia="Cambria Math" w:hAnsi="Cambria Math"/>
            <w:kern w:val="0"/>
            <w:szCs w:val="20"/>
          </w:rPr>
          <m:t>=</m:t>
        </m:r>
        <m:d>
          <m:dPr>
            <m:begChr m:val="["/>
            <m:endChr m:val="]"/>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n+L+H-1</m:t>
                    </m:r>
                  </m:e>
                </m:d>
              </m:sub>
            </m:sSub>
          </m:e>
        </m:d>
        <m:r>
          <w:rPr>
            <w:rFonts w:ascii="Cambria Math" w:eastAsia="Cambria Math" w:hAnsi="Cambria Math"/>
            <w:kern w:val="0"/>
            <w:szCs w:val="20"/>
          </w:rPr>
          <m:t>∈</m:t>
        </m:r>
        <m:sSup>
          <m:sSupPr>
            <m:ctrlPr>
              <w:rPr>
                <w:rFonts w:ascii="Cambria Math" w:eastAsia="Cambria Math" w:hAnsi="Cambria Math"/>
                <w:i/>
              </w:rPr>
            </m:ctrlPr>
          </m:sSupPr>
          <m:e>
            <m:r>
              <m:rPr>
                <m:sty m:val="bi"/>
              </m:rPr>
              <w:rPr>
                <w:rFonts w:ascii="Cambria Math" w:eastAsia="Cambria Math" w:hAnsi="Cambria Math"/>
                <w:kern w:val="0"/>
                <w:szCs w:val="20"/>
              </w:rPr>
              <m:t>R</m:t>
            </m:r>
          </m:e>
          <m:sup>
            <m:d>
              <m:dPr>
                <m:begChr m:val="{"/>
                <m:endChr m:val="}"/>
                <m:ctrlPr>
                  <w:rPr>
                    <w:rFonts w:ascii="Cambria Math" w:eastAsia="Cambria Math" w:hAnsi="Cambria Math"/>
                    <w:i/>
                  </w:rPr>
                </m:ctrlPr>
              </m:dPr>
              <m:e>
                <m:r>
                  <w:rPr>
                    <w:rFonts w:ascii="Cambria Math" w:eastAsia="Cambria Math" w:hAnsi="Cambria Math"/>
                    <w:kern w:val="0"/>
                    <w:szCs w:val="20"/>
                  </w:rPr>
                  <m:t>H×C</m:t>
                </m:r>
              </m:e>
            </m:d>
          </m:sup>
        </m:s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(2)</w:t>
      </w:r>
    </w:p>
    <w:p w14:paraId="221B26ED" w14:textId="77777777" w:rsidR="00B14FA3" w:rsidRPr="00B14FA3" w:rsidRDefault="00B14FA3" w:rsidP="00B14FA3">
      <w:pPr>
        <w:spacing w:line="360" w:lineRule="auto"/>
      </w:pPr>
      <w:r>
        <w:rPr>
          <w:szCs w:val="21"/>
        </w:rPr>
        <w:t>本文设置输入长度L=96、预测长度H=24，变量数C由各数据集保留的有效OD维度确定，学习映射记为Ŷn=fθ(Xn)。L对应一次预测所使用的历史范围，H表示需要连续预测的未来长度。原始OD流量均为非负值，而且不同OD变量之间的量级差异较大。若直接以原始数值训练，较大范围的变量会使各维数据处在不一致的数值尺度上，因此先对原始流量vt,c作对数变换</w:t>
      </w:r>
      <w:r>
        <w:rPr>
          <w:i/>
          <w:iCs/>
          <w:szCs w:val="21"/>
        </w:rPr>
      </w:r>
      <w:r>
        <w:rPr>
          <w:szCs w:val="21"/>
        </w:rPr>
      </w:r>
      <w:r>
        <w:rPr>
          <w:szCs w:val="21"/>
        </w:rPr>
      </w:r>
      <w:r>
        <w:rPr>
          <w:i/>
          <w:iCs/>
          <w:szCs w:val="21"/>
        </w:rPr>
      </w:r>
      <w:r>
        <w:rPr>
          <w:szCs w:val="21"/>
        </w:rPr>
      </w:r>
      <w:r>
        <w:rPr>
          <w:szCs w:val="21"/>
        </w:rPr>
      </w:r>
      <w:r>
        <w:rPr>
          <w:i/>
          <w:iCs/>
          <w:szCs w:val="21"/>
        </w:rPr>
      </w:r>
      <w:r>
        <w:rPr>
          <w:szCs w:val="21"/>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b/>
          <w:bCs/>
          <w:i/>
          <w:iCs/>
          <w:szCs w:val="21"/>
        </w:rPr>
      </w:r>
      <w:r>
        <w:rPr>
          <w:i/>
          <w:iCs/>
          <w:szCs w:val="21"/>
          <w:vertAlign w:val="subscript"/>
        </w:rPr>
      </w:r>
      <w:r>
        <w:rPr>
          <w:szCs w:val="21"/>
        </w:rPr>
      </w:r>
      <w:r>
        <w:rPr>
          <w:szCs w:val="21"/>
        </w:rPr>
      </w:r>
      <w:r>
        <w:rPr>
          <w:i/>
          <w:iCs/>
          <w:szCs w:val="21"/>
        </w:rPr>
      </w:r>
      <w:r>
        <w:rPr>
          <w:i/>
          <w:iCs/>
          <w:szCs w:val="21"/>
          <w:vertAlign w:val="subscript"/>
        </w:rPr>
      </w:r>
      <w:r>
        <w:rPr>
          <w:szCs w:val="21"/>
        </w:rPr>
      </w:r>
    </w:p>
    <w:p w14:paraId="06B107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unc>
          <m:funcPr>
            <m:ctrlPr>
              <w:rPr>
                <w:rFonts w:ascii="Cambria Math" w:eastAsia="Cambria Math" w:hAnsi="Cambria Math"/>
              </w:rPr>
            </m:ctrlPr>
          </m:funcPr>
          <m:fName>
            <m:r>
              <m:rPr>
                <m:sty m:val="p"/>
              </m:rPr>
              <w:rPr>
                <w:rFonts w:ascii="Cambria Math" w:eastAsia="Cambria Math" w:hAnsi="Cambria Math"/>
                <w:kern w:val="0"/>
                <w:szCs w:val="20"/>
              </w:rPr>
              <m:t>log</m:t>
            </m:r>
            <m:ctrlPr>
              <w:rPr>
                <w:rFonts w:ascii="Cambria Math" w:eastAsia="Cambria Math" w:hAnsi="Cambria Math"/>
                <w:i/>
              </w:rPr>
            </m:ctrlPr>
          </m:fName>
          <m:e>
            <m:d>
              <m:dPr>
                <m:ctrlPr>
                  <w:rPr>
                    <w:rFonts w:ascii="Cambria Math" w:eastAsia="Cambria Math" w:hAnsi="Cambria Math"/>
                    <w:i/>
                  </w:rPr>
                </m:ctrlPr>
              </m:dPr>
              <m:e>
                <m:r>
                  <w:rPr>
                    <w:rFonts w:ascii="Cambria Math" w:eastAsia="Cambria Math" w:hAnsi="Cambria Math"/>
                    <w:kern w:val="0"/>
                    <w:szCs w:val="20"/>
                  </w:rPr>
                  <m:t>1+</m:t>
                </m:r>
                <m:sSub>
                  <m:sSubPr>
                    <m:ctrlPr>
                      <w:rPr>
                        <w:rFonts w:ascii="Cambria Math" w:eastAsia="Cambria Math" w:hAnsi="Cambria Math"/>
                        <w:i/>
                      </w:rPr>
                    </m:ctrlPr>
                  </m:sSubPr>
                  <m:e>
                    <m:r>
                      <w:rPr>
                        <w:rFonts w:ascii="Cambria Math" w:eastAsia="Cambria Math" w:hAnsi="Cambria Math"/>
                        <w:kern w:val="0"/>
                        <w:szCs w:val="20"/>
                      </w:rPr>
                      <m:t>v</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e>
            </m:d>
          </m:e>
        </m:func>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(3)</w:t>
      </w:r>
    </w:p>
    <w:p w14:paraId="5088C610" w14:textId="77777777" w:rsidR="00B14FA3" w:rsidRPr="00B14FA3" w:rsidRDefault="00B14FA3" w:rsidP="00B14FA3">
      <w:pPr>
        <w:spacing w:line="360" w:lineRule="auto"/>
      </w:pPr>
      <w:r w:rsidRPr="00B14FA3">
        <w:rPr>
          <w:szCs w:val="21"/>
        </w:rPr>
        <w:t>再按变量进行标准化：</w:t>
      </w:r>
    </w:p>
    <w:p w14:paraId="2A2346E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f>
          <m:fPr>
            <m:ctrlPr>
              <w:rPr>
                <w:rFonts w:ascii="Cambria Math" w:eastAsia="Cambria Math" w:hAnsi="Cambria Math"/>
                <w:i/>
              </w:rPr>
            </m:ctrlPr>
          </m:fPr>
          <m:num>
            <m:sSub>
              <m:sSubPr>
                <m:ctrlPr>
                  <w:rPr>
                    <w:rFonts w:ascii="Cambria Math" w:eastAsia="Cambria Math" w:hAnsi="Cambria Math"/>
                    <w:i/>
                  </w:rPr>
                </m:ctrlPr>
              </m:sSubPr>
              <m:e>
                <m:r>
                  <w:rPr>
                    <w:rFonts w:ascii="Cambria Math" w:eastAsia="Cambria Math" w:hAnsi="Cambria Math"/>
                    <w:kern w:val="0"/>
                    <w:szCs w:val="20"/>
                  </w:rPr>
                  <m:t>u</m:t>
                </m:r>
              </m:e>
              <m:sub>
                <m:d>
                  <m:dPr>
                    <m:begChr m:val="{"/>
                    <m:endChr m:val="}"/>
                    <m:ctrlPr>
                      <w:rPr>
                        <w:rFonts w:ascii="Cambria Math" w:eastAsia="Cambria Math" w:hAnsi="Cambria Math"/>
                        <w:i/>
                      </w:rPr>
                    </m:ctrlPr>
                  </m:dPr>
                  <m:e>
                    <m:r>
                      <w:rPr>
                        <w:rFonts w:ascii="Cambria Math" w:eastAsia="Cambria Math" w:hAnsi="Cambria Math"/>
                        <w:kern w:val="0"/>
                        <w:szCs w:val="20"/>
                      </w:rPr>
                      <m:t>t,c</m:t>
                    </m:r>
                  </m:e>
                </m:d>
              </m:sub>
            </m:sSub>
            <m:r>
              <w:rPr>
                <w:rFonts w:ascii="Cambria Math" w:eastAsia="Cambria Math" w:hAnsi="Cambria Math"/>
                <w:kern w:val="0"/>
                <w:szCs w:val="20"/>
              </w:rPr>
              <m:t>-</m:t>
            </m:r>
            <m:sSubSup>
              <m:sSubSupPr>
                <m:ctrlPr>
                  <w:rPr>
                    <w:rFonts w:ascii="Cambria Math" w:eastAsia="Cambria Math" w:hAnsi="Cambria Math"/>
                    <w:i/>
                  </w:rPr>
                </m:ctrlPr>
              </m:sSubSupPr>
              <m:e>
                <m:r>
                  <w:rPr>
                    <w:rFonts w:ascii="Cambria Math" w:eastAsia="Cambria Math" w:hAnsi="Cambria Math"/>
                    <w:kern w:val="0"/>
                    <w:szCs w:val="20"/>
                  </w:rPr>
                  <m:t>μ</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num>
          <m:den>
            <m:sSubSup>
              <m:sSubSupPr>
                <m:ctrlPr>
                  <w:rPr>
                    <w:rFonts w:ascii="Cambria Math" w:eastAsia="Cambria Math" w:hAnsi="Cambria Math"/>
                    <w:i/>
                  </w:rPr>
                </m:ctrlPr>
              </m:sSubSupPr>
              <m:e>
                <m:r>
                  <w:rPr>
                    <w:rFonts w:ascii="Cambria Math" w:eastAsia="Cambria Math" w:hAnsi="Cambria Math"/>
                    <w:kern w:val="0"/>
                    <w:szCs w:val="20"/>
                  </w:rPr>
                  <m:t>σ</m:t>
                </m:r>
              </m:e>
              <m:sub>
                <m:r>
                  <w:rPr>
                    <w:rFonts w:ascii="Cambria Math" w:eastAsia="Cambria Math" w:hAnsi="Cambria Math"/>
                    <w:kern w:val="0"/>
                    <w:szCs w:val="20"/>
                  </w:rPr>
                  <m:t>c</m:t>
                </m:r>
              </m:sub>
              <m:sup>
                <m:d>
                  <m:dPr>
                    <m:begChr m:val="{"/>
                    <m:endChr m:val="}"/>
                    <m:ctrlPr>
                      <w:rPr>
                        <w:rFonts w:ascii="Cambria Math" w:eastAsia="Cambria Math" w:hAnsi="Cambria Math"/>
                        <w:i/>
                      </w:rPr>
                    </m:ctrlPr>
                  </m:dPr>
                  <m:e>
                    <m:r>
                      <m:rPr>
                        <m:sty m:val="p"/>
                      </m:rPr>
                      <w:rPr>
                        <w:rFonts w:ascii="Cambria Math" w:eastAsia="Cambria Math" w:hAnsi="Cambria Math"/>
                        <w:kern w:val="0"/>
                        <w:szCs w:val="20"/>
                      </w:rPr>
                      <m:t>tr</m:t>
                    </m:r>
                  </m:e>
                </m:d>
              </m:sup>
            </m:sSubSup>
          </m:den>
        </m:f>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(4)</w:t>
      </w:r>
    </w:p>
    <w:p w14:paraId="2663E5C2" w14:textId="77777777" w:rsidR="00B14FA3" w:rsidRPr="00B14FA3" w:rsidRDefault="00B14FA3" w:rsidP="00B14FA3">
      <w:pPr>
        <w:spacing w:line="360" w:lineRule="auto"/>
      </w:pPr>
      <w:r>
        <w:rPr>
          <w:szCs w:val="21"/>
        </w:rPr>
        <w:t>其中μctr和σctr分别为第c个OD变量在训练集上的均值和标准差，验证集和测试集均使用训练阶段得到的统计量。log(1+x)先压缩非负流量的数值范围，同时保留流量大小关系；随后按变量标准化，使不同OD维度在相近的数值尺度上参与训练。前一步主要缓和原始流量的量级差异，后一步用于统一各变量参与损失计算和参数更新时的尺度。数据仍按时间顺序以6∶2∶2划分为训练集、验证集和测试集，各集合内部独立生成滑动窗口，避免窗口跨越不同数据划分边界。</w:t>
      </w:r>
      <w:r>
        <w:rPr>
          <w:i/>
          <w:iCs/>
          <w:szCs w:val="21"/>
        </w:rPr>
      </w:r>
      <w:r>
        <w:rPr>
          <w:i/>
          <w:iCs/>
          <w:szCs w:val="21"/>
          <w:vertAlign w:val="subscript"/>
        </w:rPr>
      </w:r>
      <w:r>
        <w:rPr>
          <w:szCs w:val="21"/>
          <w:vertAlign w:val="superscript"/>
        </w:rPr>
      </w:r>
      <w:r>
        <w:rPr>
          <w:szCs w:val="21"/>
        </w:rPr>
      </w:r>
      <w:r>
        <w:rPr>
          <w:i/>
          <w:iCs/>
          <w:szCs w:val="21"/>
        </w:rPr>
      </w:r>
      <w:r>
        <w:rPr>
          <w:i/>
          <w:iCs/>
          <w:szCs w:val="21"/>
          <w:vertAlign w:val="subscript"/>
        </w:rPr>
      </w:r>
      <w:r>
        <w:rPr>
          <w:szCs w:val="21"/>
          <w:vertAlign w:val="superscript"/>
        </w:rPr>
      </w:r>
      <w:r>
        <w:rPr>
          <w:szCs w:val="21"/>
        </w:rPr>
      </w:r>
      <w:r>
        <w:rPr>
          <w:szCs w:val="21"/>
        </w:rPr>
      </w:r>
      <w:r>
        <w:rPr>
          <w:szCs w:val="21"/>
        </w:rPr>
      </w:r>
    </w:p>
    <w:p>
      <w:pPr/>
      <w:r>
        <w:t>经过上述处理后，每个输入样本仍保持原始时间分辨率。为了让后续专家同时观察细粒度变化和较平滑的趋势，需要进一步从同一历史窗口构造不同时间尺度的表示。</w:t>
      </w:r>
    </w:p>
    <w:p w14:paraId="61721526"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1.2 </w:t>
      </w:r>
      <w:r w:rsidRPr="00B14FA3">
        <w:rPr>
          <w:rFonts w:eastAsia="黑体"/>
          <w:b/>
          <w:bCs/>
          <w:szCs w:val="21"/>
        </w:rPr>
        <w:t>多尺度序列构造</w:t>
      </w:r>
    </w:p>
    <w:p w14:paraId="70A22C31" w14:textId="77777777" w:rsidR="00B14FA3" w:rsidRPr="00B14FA3" w:rsidRDefault="00B14FA3" w:rsidP="00B14FA3">
      <w:pPr>
        <w:spacing w:line="360" w:lineRule="auto"/>
      </w:pPr>
      <w:r w:rsidRPr="00B14FA3">
        <w:rPr>
          <w:szCs w:val="21"/>
        </w:rPr>
        <w:t>设尺度集合S={1,2,4}。尺度s表示沿时间维进行聚合时使用的窗口大小。对于任一尺度s，采用窗口大小为s、步长也为s的非重叠平均池化：</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14:paraId="18864864"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s</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i=0</m:t>
                    </m:r>
                  </m:e>
                </m:d>
              </m:e>
              <m:sub>
                <m:d>
                  <m:dPr>
                    <m:begChr m:val="{"/>
                    <m:endChr m:val="}"/>
                    <m:ctrlPr>
                      <w:rPr>
                        <w:rFonts w:ascii="Cambria Math" w:eastAsia="Cambria Math" w:hAnsi="Cambria Math"/>
                        <w:i/>
                      </w:rPr>
                    </m:ctrlPr>
                  </m:dPr>
                  <m:e>
                    <m:r>
                      <w:rPr>
                        <w:rFonts w:ascii="Cambria Math" w:eastAsia="Cambria Math" w:hAnsi="Cambria Math"/>
                        <w:kern w:val="0"/>
                        <w:szCs w:val="20"/>
                      </w:rPr>
                      <m:t>n,st+i</m:t>
                    </m:r>
                  </m:e>
                </m:d>
              </m:sub>
              <m:sup>
                <m:d>
                  <m:dPr>
                    <m:begChr m:val="{"/>
                    <m:endChr m:val="}"/>
                    <m:ctrlPr>
                      <w:rPr>
                        <w:rFonts w:ascii="Cambria Math" w:eastAsia="Cambria Math" w:hAnsi="Cambria Math"/>
                        <w:i/>
                      </w:rPr>
                    </m:ctrlPr>
                  </m:dPr>
                  <m:e>
                    <m:r>
                      <w:rPr>
                        <w:rFonts w:ascii="Cambria Math" w:eastAsia="Cambria Math" w:hAnsi="Cambria Math"/>
                        <w:kern w:val="0"/>
                        <w:szCs w:val="20"/>
                      </w:rPr>
                      <m:t>s-1</m:t>
                    </m:r>
                  </m:e>
                </m:d>
                <m:r>
                  <m:rPr>
                    <m:sty m:val="bi"/>
                  </m:rPr>
                  <w:rPr>
                    <w:rFonts w:ascii="Cambria Math" w:eastAsia="Cambria Math" w:hAnsi="Cambria Math"/>
                    <w:kern w:val="0"/>
                    <w:szCs w:val="20"/>
                  </w:rPr>
                  <m:t>X</m:t>
                </m:r>
              </m:sup>
            </m:sSubSup>
          </m:sub>
        </m:sSub>
        <m:r>
          <w:rPr>
            <w:rFonts w:ascii="Cambria Math" w:eastAsia="Cambria Math" w:hAnsi="Cambria Math"/>
            <w:kern w:val="0"/>
            <w:szCs w:val="20"/>
          </w:rPr>
          <m:t>,     t=0,…,</m:t>
        </m:r>
        <m:f>
          <m:fPr>
            <m:ctrlPr>
              <w:rPr>
                <w:rFonts w:ascii="Cambria Math" w:eastAsia="Cambria Math" w:hAnsi="Cambria Math"/>
                <w:i/>
              </w:rPr>
            </m:ctrlPr>
          </m:fPr>
          <m:num>
            <m:r>
              <w:rPr>
                <w:rFonts w:ascii="Cambria Math" w:eastAsia="Cambria Math" w:hAnsi="Cambria Math"/>
                <w:kern w:val="0"/>
                <w:szCs w:val="20"/>
              </w:rPr>
              <m:t>L</m:t>
            </m:r>
          </m:num>
          <m:den>
            <m:r>
              <w:rPr>
                <w:rFonts w:ascii="Cambria Math" w:eastAsia="Cambria Math" w:hAnsi="Cambria Math"/>
                <w:kern w:val="0"/>
                <w:szCs w:val="20"/>
              </w:rPr>
              <m:t>s</m:t>
            </m:r>
          </m:den>
        </m:f>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(5)</w:t>
      </w:r>
    </w:p>
    <w:p w14:paraId="7293F014" w14:textId="77777777" w:rsidR="00B14FA3" w:rsidRPr="00B14FA3" w:rsidRDefault="00B14FA3" w:rsidP="00B14FA3">
      <w:pPr>
        <w:spacing w:line="360" w:lineRule="auto"/>
      </w:pPr>
      <w:r w:rsidRPr="00B14FA3">
        <w:rPr>
          <w:szCs w:val="21"/>
        </w:rPr>
        <w:t>本文使用尺度集合S={1,2,4}。在输入长度L=96时，尺度1保留原始96步序列；尺度2将相邻2个时间点取平均，得到48步序列；尺度4按4个时间点进行平均，得到24步序列。三者分别对应原始、中等和平滑程度更高的时间表示。尺度1不压缩时间轴，因此保留较完整的短时起伏；尺度2对局部变化进行适度平滑；尺度4进一步削弱短时间内的高频变化，使较慢的变化趋势更突出。这里采用平均池化而不是新增可训练的尺度变换模块，是为了在构造多分辨率输入时不额外增加模型参数。</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尺度集合采用1、2和4，主要是为了在96步历史窗口内形成三个层次清晰且长度均为整数的时间分辨率，同时控制专家数量。尺度继续增加虽然可以产生更粗的序列，但也会继续缩短有效时间长度并增加新的专家分支。本文并不将{1,2,4}作为经过穷举得到的最优尺度组合，而是把它作为兼顾细粒度信息、趋势信息和模型规模的一组固定设计。采用非重叠池化还使每个原始时间点只参与一次同尺度聚合，尺度变化的含义较为直接。</w:t>
      </w:r>
    </w:p>
    <w:p w14:paraId="306E219C"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1.3 DLinear</w:t>
      </w:r>
      <w:r w:rsidRPr="00B14FA3">
        <w:rPr>
          <w:rFonts w:eastAsia="黑体"/>
          <w:b/>
          <w:bCs/>
          <w:szCs w:val="21"/>
        </w:rPr>
        <w:t>尺度专家</w:t>
      </w:r>
    </w:p>
    <w:p w14:paraId="0C0C1858" w14:textId="77777777" w:rsidR="00B14FA3" w:rsidRPr="00B14FA3" w:rsidRDefault="00B14FA3" w:rsidP="00B14FA3">
      <w:pPr>
        <w:spacing w:line="360" w:lineRule="auto"/>
      </w:pPr>
      <w:r w:rsidRPr="00B14FA3">
        <w:rPr>
          <w:szCs w:val="21"/>
        </w:rPr>
        <w:t>尺度1、2和4分别配置一个DLinear专家[4]，每个专家只处理本尺度对应的输入序列。DLinear的核心思路是先将序列拆分为变化较慢的趋势项和围绕趋势变化的余项，再分别完成时间映射。对尺度s的输入，本文使用长度q=25的中心移动平均提取趋势项。移动平均相当于在局部时间邻域内进行平滑，为避免序列两端因窗口不足而缩短，边界位置采用端点复制方式补齐，从而保持分解前后的时间长度一致：</w:t>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i/>
          <w:iCs/>
          <w:szCs w:val="21"/>
        </w:rPr>
      </w:r>
      <w:r w:rsidRPr="00B14FA3">
        <w:rPr>
          <w:szCs w:val="21"/>
        </w:rPr>
      </w:r>
      <w:r w:rsidRPr="00B14FA3">
        <w:rPr>
          <w:szCs w:val="21"/>
        </w:rPr>
      </w:r>
    </w:p>
    <w:p w14:paraId="470EA410"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T</m:t>
            </m:r>
          </m:e>
          <m:sub>
            <m:d>
              <m:dPr>
                <m:begChr m:val="{"/>
                <m:endChr m:val="}"/>
                <m:ctrlPr>
                  <w:rPr>
                    <w:rFonts w:ascii="Cambria Math" w:eastAsia="Cambria Math" w:hAnsi="Cambria Math"/>
                    <w:i/>
                  </w:rPr>
                </m:ctrlPr>
              </m:dPr>
              <m:e>
                <m:r>
                  <w:rPr>
                    <w:rFonts w:ascii="Cambria Math" w:eastAsia="Cambria Math" w:hAnsi="Cambria Math"/>
                    <w:kern w:val="0"/>
                    <w:szCs w:val="20"/>
                  </w:rPr>
                  <m:t>n,t</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q</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i=-m</m:t>
                </m:r>
              </m:e>
            </m:d>
          </m:sub>
          <m:sup>
            <m:d>
              <m:dPr>
                <m:begChr m:val="{"/>
                <m:endChr m:val="}"/>
                <m:ctrlPr>
                  <w:rPr>
                    <w:rFonts w:ascii="Cambria Math" w:eastAsia="Cambria Math" w:hAnsi="Cambria Math"/>
                    <w:i/>
                  </w:rPr>
                </m:ctrlPr>
              </m:dPr>
              <m:e>
                <m:r>
                  <w:rPr>
                    <w:rFonts w:ascii="Cambria Math" w:eastAsia="Cambria Math" w:hAnsi="Cambria Math"/>
                    <w:kern w:val="0"/>
                    <w:szCs w:val="20"/>
                  </w:rPr>
                  <m:t>m</m:t>
                </m:r>
              </m:e>
            </m:d>
            <m:sSubSup>
              <m:sSubSupPr>
                <m:ctrlPr>
                  <w:rPr>
                    <w:rFonts w:ascii="Cambria Math" w:eastAsia="Cambria Math" w:hAnsi="Cambria Math"/>
                    <w:i/>
                  </w:rPr>
                </m:ctrlPr>
              </m:sSubSupPr>
              <m:e>
                <m:acc>
                  <m:accPr>
                    <m:chr m:val="̄"/>
                    <m:ctrlPr>
                      <w:rPr>
                        <w:rFonts w:ascii="Cambria Math" w:eastAsia="Cambria Math" w:hAnsi="Cambria Math"/>
                        <w:i/>
                      </w:rPr>
                    </m:ctrlPr>
                  </m:accPr>
                  <m:e>
                    <m:r>
                      <m:rPr>
                        <m:sty m:val="bi"/>
                      </m:rPr>
                      <w:rPr>
                        <w:rFonts w:ascii="Cambria Math" w:eastAsia="Cambria Math" w:hAnsi="Cambria Math"/>
                        <w:kern w:val="0"/>
                        <w:szCs w:val="20"/>
                      </w:rPr>
                      <m:t>X</m:t>
                    </m:r>
                  </m:e>
                </m:acc>
              </m:e>
              <m:sub>
                <m:d>
                  <m:dPr>
                    <m:begChr m:val="{"/>
                    <m:endChr m:val="}"/>
                    <m:ctrlPr>
                      <w:rPr>
                        <w:rFonts w:ascii="Cambria Math" w:eastAsia="Cambria Math" w:hAnsi="Cambria Math"/>
                        <w:i/>
                      </w:rPr>
                    </m:ctrlPr>
                  </m:dPr>
                  <m:e>
                    <m:r>
                      <w:rPr>
                        <w:rFonts w:ascii="Cambria Math" w:eastAsia="Cambria Math" w:hAnsi="Cambria Math"/>
                        <w:kern w:val="0"/>
                        <w:szCs w:val="20"/>
                      </w:rPr>
                      <m:t>n,t+i</m:t>
                    </m:r>
                  </m:e>
                </m:d>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     q=2m+1=25,</m:t>
        </m:r>
      </m:oMath>
      <w:r w:rsidRPr="00B14FA3">
        <w:rPr>
          <w:rFonts w:ascii="Cambria Math" w:eastAsia="Cambria Math" w:hAnsi="Cambria Math"/>
          <w:kern w:val="0"/>
          <w:szCs w:val="20"/>
        </w:rPr>
        <w:tab/>
      </w:r>
      <w:r w:rsidRPr="00B14FA3">
        <w:rPr>
          <w:kern w:val="0"/>
          <w:szCs w:val="20"/>
        </w:rPr>
        <w:t>(6)</w:t>
      </w:r>
    </w:p>
    <w:p w14:paraId="17B8C737"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X</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(7)</w:t>
      </w:r>
    </w:p>
    <w:p w14:paraId="26BF54CF" w14:textId="77777777" w:rsidR="00B14FA3" w:rsidRPr="00B14FA3" w:rsidRDefault="00B14FA3" w:rsidP="00B14FA3">
      <w:pPr>
        <w:spacing w:line="360" w:lineRule="auto"/>
      </w:pPr>
      <w:r>
        <w:rPr>
          <w:szCs w:val="21"/>
        </w:rPr>
        <w:t>趋势项</w:t>
      </w:r>
      <w:r>
        <w:rPr>
          <w:b/>
          <w:bCs/>
          <w:i/>
          <w:iCs/>
          <w:szCs w:val="21"/>
        </w:rPr>
        <w:t>T</w:t>
      </w:r>
      <w:r>
        <w:rPr>
          <w:szCs w:val="21"/>
          <w:vertAlign w:val="superscript"/>
        </w:rPr>
        <w:t>(</w:t>
      </w:r>
      <w:r>
        <w:rPr>
          <w:i/>
          <w:iCs/>
          <w:szCs w:val="21"/>
          <w:vertAlign w:val="superscript"/>
        </w:rPr>
        <w:t>s</w:t>
      </w:r>
      <w:r>
        <w:rPr>
          <w:szCs w:val="21"/>
          <w:vertAlign w:val="superscript"/>
        </w:rPr>
        <w:t>)</w:t>
      </w:r>
      <w:r>
        <w:rPr>
          <w:szCs w:val="21"/>
        </w:rPr>
        <w:t>和余项</w:t>
      </w:r>
      <w:r>
        <w:rPr>
          <w:b/>
          <w:bCs/>
          <w:i/>
          <w:iCs/>
          <w:szCs w:val="21"/>
        </w:rPr>
        <w:t>R</w:t>
      </w:r>
      <w:r>
        <w:rPr>
          <w:szCs w:val="21"/>
          <w:vertAlign w:val="superscript"/>
        </w:rPr>
        <w:t>(</w:t>
      </w:r>
      <w:r>
        <w:rPr>
          <w:i/>
          <w:iCs/>
          <w:szCs w:val="21"/>
          <w:vertAlign w:val="superscript"/>
        </w:rPr>
        <w:t>s</w:t>
      </w:r>
      <w:r>
        <w:rPr>
          <w:szCs w:val="21"/>
          <w:vertAlign w:val="superscript"/>
        </w:rPr>
        <w:t>)</w:t>
      </w:r>
      <w:r>
        <w:rPr>
          <w:szCs w:val="21"/>
        </w:rPr>
        <w:t>沿时间维分别通过线性层映射到预测长度</w:t>
      </w:r>
      <w:r>
        <w:rPr>
          <w:i/>
          <w:iCs/>
          <w:szCs w:val="21"/>
        </w:rPr>
        <w:t>H</w:t>
      </w:r>
      <w:r>
        <w:rPr>
          <w:szCs w:val="21"/>
        </w:rPr>
        <w:t>：</w:t>
      </w:r>
    </w:p>
    <w:p w14:paraId="15255C2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T</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T</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SubSup>
              <m:sSubSupPr>
                <m:ctrlPr>
                  <w:rPr>
                    <w:rFonts w:ascii="Cambria Math" w:eastAsia="Cambria Math" w:hAnsi="Cambria Math"/>
                    <w:i/>
                  </w:rPr>
                </m:ctrlPr>
              </m:sSubSupPr>
              <m:e>
                <m:r>
                  <m:rPr>
                    <m:sty m:val="bi"/>
                  </m:rPr>
                  <w:rPr>
                    <w:rFonts w:ascii="Cambria Math" w:eastAsia="Cambria Math" w:hAnsi="Cambria Math"/>
                    <w:kern w:val="0"/>
                    <w:szCs w:val="20"/>
                  </w:rPr>
                  <m:t>R</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p>
        </m:sSubSup>
        <m:r>
          <w:rPr>
            <w:rFonts w:ascii="Cambria Math" w:eastAsia="Cambria Math" w:hAnsi="Cambria Math"/>
            <w:kern w:val="0"/>
            <w:szCs w:val="20"/>
          </w:rPr>
          <m:t>+</m:t>
        </m:r>
        <m:sSubSup>
          <m:sSubSupPr>
            <m:ctrlPr>
              <w:rPr>
                <w:rFonts w:ascii="Cambria Math" w:eastAsia="Cambria Math" w:hAnsi="Cambria Math"/>
                <w:i/>
              </w:rPr>
            </m:ctrlPr>
          </m:sSubSupPr>
          <m:e>
            <m:r>
              <m:rPr>
                <m:sty m:val="bi"/>
              </m:rPr>
              <w:rPr>
                <w:rFonts w:ascii="Cambria Math" w:eastAsia="Cambria Math" w:hAnsi="Cambria Math"/>
                <w:kern w:val="0"/>
                <w:szCs w:val="20"/>
              </w:rPr>
              <m:t>b</m:t>
            </m:r>
          </m:e>
          <m:sub>
            <m:r>
              <m:rPr>
                <m:sty m:val="p"/>
              </m:rPr>
              <w:rPr>
                <w:rFonts w:ascii="Cambria Math" w:eastAsia="Cambria Math" w:hAnsi="Cambria Math"/>
                <w:kern w:val="0"/>
                <w:szCs w:val="20"/>
              </w:rPr>
              <m:t>R</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(8)</w:t>
      </w:r>
    </w:p>
    <w:p w14:paraId="554CD434" w14:textId="77777777" w:rsidR="00B14FA3" w:rsidRPr="00B14FA3" w:rsidRDefault="00B14FA3" w:rsidP="00B14FA3">
      <w:pPr>
        <w:spacing w:line="360" w:lineRule="auto"/>
      </w:pPr>
      <w:r>
        <w:rPr>
          <w:szCs w:val="21"/>
        </w:rPr>
        <w:t>由式（6）和式（7）可得到尺度s上的趋势项T(s)和余项R(s)。趋势项表示经过局部平滑后保留下来的较慢变化部分，余项则由原序列减去趋势项得到，保留未被移动平均解释的局部变化。式（8）分别对两部分沿时间维进行线性映射，并把二者的预测结果相加形成该尺度的候选预测。3个尺度使用独立DLinear专家，是因为尺度1、2和4的输入长度分别为96、48和24，对应的时间分辨率和时间映射关系并不相同；若强制共用一组尺度间参数，会把不同长度、不同平滑程度的序列约束到同一映射中。同一尺度内部，各OD变量共享时间映射参数，模型学习的是这一时间尺度下通用的时间映射形式，而不是为每个OD变量分别建立一套线性层。</w:t>
      </w:r>
      <w:r w:rsidRPr="00B14FA3">
        <w:rPr>
          <w:szCs w:val="21"/>
        </w:rPr>
      </w:r>
      <w:r w:rsidRPr="00B14FA3">
        <w:rPr>
          <w:szCs w:val="21"/>
        </w:rPr>
      </w:r>
      <w:r w:rsidRPr="00B14FA3">
        <w:rPr>
          <w:szCs w:val="21"/>
        </w:rPr>
      </w:r>
      <w:r w:rsidRPr="00B14FA3">
        <w:rPr>
          <w:szCs w:val="21"/>
        </w:rPr>
      </w:r>
      <w:r w:rsidRPr="00B14FA3">
        <w:rPr>
          <w:szCs w:val="21"/>
        </w:rPr>
      </w:r>
    </w:p>
    <w:p>
      <w:pPr/>
      <w:r>
        <w:t>采用DLinear作为尺度专家，主要是为了把预测主干与尺度融合的影响区分开。本文需要比较单尺度预测、固定等权、全局可学习固定权重和样本级路由四种设置；若尺度专家本身过于复杂，误差变化会同时受到主干结构和融合机制影响。DLinear参数关系清晰，在保持基本预测能力的同时，更适合作为统一的尺度专家。</w:t>
      </w:r>
    </w:p>
    <w:p w14:paraId="7F75A3C8" w14:textId="77777777" w:rsidR="00B14FA3" w:rsidRPr="00B14FA3" w:rsidRDefault="00B14FA3" w:rsidP="00B14FA3">
      <w:pPr>
        <w:keepNext/>
        <w:keepLines/>
        <w:spacing w:before="80" w:after="20" w:line="415" w:lineRule="auto"/>
        <w:ind w:firstLine="0"/>
        <w:jc w:val="left"/>
        <w:outlineLvl w:val="1"/>
        <w:rPr>
          <w:rFonts w:eastAsia="黑体"/>
          <w:b/>
          <w:bCs/>
          <w:szCs w:val="32"/>
        </w:rPr>
      </w:pPr>
      <w:r w:rsidRPr="00B14FA3">
        <w:rPr>
          <w:rFonts w:eastAsia="黑体"/>
          <w:b/>
          <w:bCs/>
          <w:szCs w:val="21"/>
        </w:rPr>
        <w:t xml:space="preserve">1.4 </w:t>
      </w:r>
      <w:r w:rsidRPr="00B14FA3">
        <w:rPr>
          <w:rFonts w:eastAsia="黑体"/>
          <w:b/>
          <w:bCs/>
          <w:szCs w:val="21"/>
        </w:rPr>
        <w:t>样本级自适应尺度加权</w:t>
      </w:r>
    </w:p>
    <w:p w14:paraId="5F192824" w14:textId="77777777" w:rsidR="00B14FA3" w:rsidRPr="00B14FA3" w:rsidRDefault="00B14FA3" w:rsidP="00B14FA3">
      <w:pPr>
        <w:spacing w:line="360" w:lineRule="auto"/>
      </w:pPr>
      <w:r>
        <w:rPr>
          <w:szCs w:val="21"/>
        </w:rPr>
        <w:t>3个DLinear专家会针对同一样本给出3组预测结果，随后需要确定它们在最终输出中的占比。若始终令3个尺度均取1/3，就等价于假设所有输入窗口具有相同的尺度需求。但实际窗口的状态存在差别：局部波动较强时，细粒度信息可能更重要；变化较平稳时，较粗尺度中的趋势信息可能更有价值。为使融合比例能够随样本变化，本文从原始输入Xn提取四维统计向量zn=[μn,σn,ℓn,dn]，用这些统计量描述当前窗口状态，其中</w:t>
      </w:r>
      <w:r>
        <w:rPr>
          <w:b/>
          <w:bCs/>
          <w:i/>
          <w:iCs/>
          <w:szCs w:val="21"/>
        </w:rPr>
      </w:r>
      <w:r>
        <w:rPr>
          <w:i/>
          <w:iCs/>
          <w:szCs w:val="21"/>
          <w:vertAlign w:val="subscript"/>
        </w:rPr>
      </w:r>
      <w:r>
        <w:rPr>
          <w:szCs w:val="21"/>
        </w:rPr>
      </w:r>
      <w:r>
        <w:rPr>
          <w:szCs w:val="21"/>
        </w:rPr>
      </w:r>
      <w:r>
        <w:rPr>
          <w:b/>
          <w:bCs/>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p>
    <w:p w14:paraId="6325C9EA"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n</m:t>
            </m:r>
          </m:sub>
        </m:sSub>
        <m:r>
          <w:rPr>
            <w:rFonts w:ascii="Cambria Math" w:eastAsia="Cambria Math" w:hAnsi="Cambria Math"/>
            <w:kern w:val="0"/>
            <w:szCs w:val="20"/>
          </w:rPr>
          <m:t>=</m:t>
        </m:r>
        <m:rad>
          <m:radPr>
            <m:degHide m:val="1"/>
            <m:ctrlPr>
              <w:rPr>
                <w:rFonts w:ascii="Cambria Math" w:eastAsia="Cambria Math" w:hAnsi="Cambria Math"/>
                <w:i/>
              </w:rPr>
            </m:ctrlPr>
          </m:radPr>
          <m:deg/>
          <m:e>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LC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t,c</m:t>
                    </m:r>
                  </m:e>
                </m:d>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μ</m:t>
                        </m:r>
                      </m:e>
                      <m:sub>
                        <m:r>
                          <w:rPr>
                            <w:rFonts w:ascii="Cambria Math" w:eastAsia="Cambria Math" w:hAnsi="Cambria Math"/>
                            <w:kern w:val="0"/>
                            <w:szCs w:val="20"/>
                          </w:rPr>
                          <m:t>n</m:t>
                        </m:r>
                      </m:sub>
                    </m:sSub>
                  </m:e>
                </m:d>
              </m:sub>
              <m:sup>
                <m:r>
                  <w:rPr>
                    <w:rFonts w:ascii="Cambria Math" w:eastAsia="Cambria Math" w:hAnsi="Cambria Math"/>
                    <w:kern w:val="0"/>
                    <w:szCs w:val="20"/>
                  </w:rPr>
                  <m:t>2</m:t>
                </m:r>
              </m:sup>
            </m:sSubSup>
          </m:e>
        </m:rad>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(9)</w:t>
      </w:r>
    </w:p>
    <w:p w14:paraId="3BBFF1DF"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cr m:val="script"/>
              </m:rPr>
              <w:rPr>
                <w:rFonts w:ascii="Cambria Math" w:eastAsia="Cambria Math" w:hAnsi="Cambria Math"/>
                <w:kern w:val="0"/>
                <w:szCs w:val="20"/>
              </w:rPr>
              <m:t>l</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c</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n,L-1,c</m:t>
                    </m:r>
                  </m:e>
                </m:d>
              </m:sub>
            </m:sSub>
          </m:sub>
        </m:sSub>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d</m:t>
            </m:r>
          </m:e>
          <m:sub>
            <m:r>
              <w:rPr>
                <w:rFonts w:ascii="Cambria Math" w:eastAsia="Cambria Math" w:hAnsi="Cambria Math"/>
                <w:kern w:val="0"/>
                <w:szCs w:val="20"/>
              </w:rPr>
              <m:t>n</m:t>
            </m:r>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d>
                  <m:dPr>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C</m:t>
                </m:r>
              </m:den>
            </m:f>
          </m:e>
        </m:d>
        <m:sSub>
          <m:sSubPr>
            <m:ctrlPr>
              <w:rPr>
                <w:rFonts w:ascii="Cambria Math" w:eastAsia="Cambria Math" w:hAnsi="Cambria Math"/>
                <w:i/>
              </w:rPr>
            </m:ctrlPr>
          </m:sSubPr>
          <m:e>
            <m:r>
              <w:rPr>
                <w:rFonts w:ascii="Cambria Math" w:eastAsia="Cambria Math" w:hAnsi="Cambria Math"/>
                <w:kern w:val="0"/>
                <w:szCs w:val="20"/>
              </w:rPr>
              <m:t>Σ</m:t>
            </m:r>
          </m:e>
          <m:sub>
            <m:sSubSup>
              <m:sSubSupPr>
                <m:ctrlPr>
                  <w:rPr>
                    <w:rFonts w:ascii="Cambria Math" w:eastAsia="Cambria Math" w:hAnsi="Cambria Math"/>
                    <w:i/>
                  </w:rPr>
                </m:ctrlPr>
              </m:sSubSupPr>
              <m:e>
                <m:d>
                  <m:dPr>
                    <m:begChr m:val="{"/>
                    <m:endChr m:val="}"/>
                    <m:ctrlPr>
                      <w:rPr>
                        <w:rFonts w:ascii="Cambria Math" w:eastAsia="Cambria Math" w:hAnsi="Cambria Math"/>
                        <w:i/>
                      </w:rPr>
                    </m:ctrlPr>
                  </m:dPr>
                  <m:e>
                    <m:r>
                      <w:rPr>
                        <w:rFonts w:ascii="Cambria Math" w:eastAsia="Cambria Math" w:hAnsi="Cambria Math"/>
                        <w:kern w:val="0"/>
                        <w:szCs w:val="20"/>
                      </w:rPr>
                      <m:t>t=1</m:t>
                    </m:r>
                  </m:e>
                </m:d>
              </m:e>
              <m:sub>
                <m:r>
                  <w:rPr>
                    <w:rFonts w:ascii="Cambria Math" w:eastAsia="Cambria Math" w:hAnsi="Cambria Math"/>
                    <w:kern w:val="0"/>
                    <w:szCs w:val="20"/>
                  </w:rPr>
                  <m:t>c</m:t>
                </m:r>
                <m:d>
                  <m:dPr>
                    <m:begChr m:val="|"/>
                    <m:endChr m:val="|"/>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X</m:t>
                        </m:r>
                      </m:e>
                      <m:sub>
                        <m:d>
                          <m:dPr>
                            <m:begChr m:val="{"/>
                            <m:endChr m:val="}"/>
                            <m:ctrlPr>
                              <w:rPr>
                                <w:rFonts w:ascii="Cambria Math" w:eastAsia="Cambria Math" w:hAnsi="Cambria Math"/>
                                <w:i/>
                              </w:rPr>
                            </m:ctrlPr>
                          </m:dPr>
                          <m:e>
                            <m:r>
                              <w:rPr>
                                <w:rFonts w:ascii="Cambria Math" w:eastAsia="Cambria Math" w:hAnsi="Cambria Math"/>
                                <w:kern w:val="0"/>
                                <w:szCs w:val="20"/>
                              </w:rPr>
                              <m:t>n,t-1,c</m:t>
                            </m:r>
                          </m:e>
                        </m:d>
                      </m:sub>
                    </m:sSub>
                  </m:e>
                </m:d>
              </m:sub>
              <m:sup>
                <m:d>
                  <m:dPr>
                    <m:begChr m:val="{"/>
                    <m:endChr m:val="}"/>
                    <m:ctrlPr>
                      <w:rPr>
                        <w:rFonts w:ascii="Cambria Math" w:eastAsia="Cambria Math" w:hAnsi="Cambria Math"/>
                        <w:i/>
                      </w:rPr>
                    </m:ctrlPr>
                  </m:dPr>
                  <m:e>
                    <m:r>
                      <w:rPr>
                        <w:rFonts w:ascii="Cambria Math" w:eastAsia="Cambria Math" w:hAnsi="Cambria Math"/>
                        <w:kern w:val="0"/>
                        <w:szCs w:val="20"/>
                      </w:rPr>
                      <m:t>L-1</m:t>
                    </m:r>
                  </m:e>
                </m:d>
                <m:r>
                  <w:rPr>
                    <w:rFonts w:ascii="Cambria Math" w:eastAsia="Cambria Math" w:hAnsi="Cambria Math"/>
                    <w:kern w:val="0"/>
                    <w:szCs w:val="20"/>
                  </w:rPr>
                  <m:t>Σ</m:t>
                </m:r>
              </m:sup>
            </m:sSubSup>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(10)</w:t>
      </w:r>
    </w:p>
    <w:p w14:paraId="4DAEC603" w14:textId="77777777" w:rsidR="00B14FA3" w:rsidRPr="00B14FA3" w:rsidRDefault="00B14FA3" w:rsidP="00B14FA3">
      <w:pPr>
        <w:spacing w:line="360" w:lineRule="auto"/>
      </w:pPr>
      <w:r>
        <w:rPr>
          <w:i/>
          <w:iCs/>
          <w:szCs w:val="21"/>
        </w:rPr>
        <w:t>μn、σn、ℓn和dn分别描述输入窗口的总体水平、离散程度、最近状态和平均变化强度。μn反映窗口整体流量水平，σn刻画观测值的离散程度，ℓn取窗口末时刻的平均状态，dn由相邻时间点的一阶变化得到。这4个统计量分别提供水平、波动、最近状态和局部变化信息，供路由器计算输入相关的尺度权重，而不直接参与未来流量数值的预测。</w:t>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i/>
          <w:iCs/>
          <w:szCs w:val="21"/>
        </w:rPr>
      </w:r>
      <w:r>
        <w:rPr>
          <w:i/>
          <w:iCs/>
          <w:szCs w:val="21"/>
          <w:vertAlign w:val="subscript"/>
        </w:rPr>
      </w:r>
      <w:r>
        <w:rPr>
          <w:szCs w:val="21"/>
        </w:rPr>
      </w:r>
      <w:r>
        <w:rPr>
          <w:szCs w:val="21"/>
        </w:rPr>
      </w:r>
      <w:r>
        <w:rPr>
          <w:szCs w:val="21"/>
        </w:rPr>
      </w:r>
    </w:p>
    <w:p w14:paraId="44EF3E4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a</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W</m:t>
            </m:r>
          </m:e>
          <m:sub>
            <m:r>
              <m:rPr>
                <m:sty m:val="p"/>
              </m:rPr>
              <w:rPr>
                <w:rFonts w:ascii="Cambria Math" w:eastAsia="Cambria Math" w:hAnsi="Cambria Math"/>
                <w:kern w:val="0"/>
                <w:szCs w:val="20"/>
              </w:rPr>
              <m:t>2ReLU</m:t>
            </m:r>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W</m:t>
                    </m:r>
                  </m:e>
                  <m:sub>
                    <m:r>
                      <w:rPr>
                        <w:rFonts w:ascii="Cambria Math" w:eastAsia="Cambria Math" w:hAnsi="Cambria Math"/>
                        <w:kern w:val="0"/>
                        <w:szCs w:val="20"/>
                      </w:rPr>
                      <m:t>1</m:t>
                    </m:r>
                    <m:sSub>
                      <m:sSubPr>
                        <m:ctrlPr>
                          <w:rPr>
                            <w:rFonts w:ascii="Cambria Math" w:eastAsia="Cambria Math" w:hAnsi="Cambria Math"/>
                            <w:i/>
                          </w:rPr>
                        </m:ctrlPr>
                      </m:sSubPr>
                      <m:e>
                        <m:r>
                          <m:rPr>
                            <m:sty m:val="bi"/>
                          </m:rPr>
                          <w:rPr>
                            <w:rFonts w:ascii="Cambria Math" w:eastAsia="Cambria Math" w:hAnsi="Cambria Math"/>
                            <w:kern w:val="0"/>
                            <w:szCs w:val="20"/>
                          </w:rPr>
                          <m:t>z</m:t>
                        </m:r>
                      </m:e>
                      <m:sub>
                        <m:r>
                          <w:rPr>
                            <w:rFonts w:ascii="Cambria Math" w:eastAsia="Cambria Math" w:hAnsi="Cambria Math"/>
                            <w:kern w:val="0"/>
                            <w:szCs w:val="20"/>
                          </w:rPr>
                          <m:t>n</m:t>
                        </m:r>
                      </m:sub>
                    </m:sSub>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1</m:t>
                    </m:r>
                  </m:sub>
                </m:sSub>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b</m:t>
            </m:r>
          </m:e>
          <m:sub>
            <m:r>
              <w:rPr>
                <w:rFonts w:ascii="Cambria Math" w:eastAsia="Cambria Math" w:hAnsi="Cambria Math"/>
                <w:kern w:val="0"/>
                <w:szCs w:val="20"/>
              </w:rPr>
              <m:t>2</m:t>
            </m:r>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(11)</w:t>
      </w:r>
    </w:p>
    <w:p>
      <w:pPr/>
      <w:r>
        <w:t>四维向量输入隐藏维数为16的两层感知器，输出3个尺度的未归一化分数。路由器仅计算三个尺度的融合分数，不需要再次完成完整的OD流量预测，因此本文未引入循环网络、注意力网络等额外时序编码器。使用低维统计量和较小隐藏层，也能把路由模块的参数规模控制在较低水平。其尺度分数计算为</w:t>
      </w:r>
    </w:p>
    <w:p w14:paraId="2935E851" w14:textId="77777777" w:rsidR="00B14FA3" w:rsidRPr="00B14FA3" w:rsidRDefault="00B14FA3" w:rsidP="00B14FA3">
      <w:pPr>
        <w:spacing w:line="360" w:lineRule="auto"/>
      </w:pPr>
      <w:r>
        <w:rPr>
          <w:szCs w:val="21"/>
        </w:rPr>
        <w:t>式（11）得到的3个尺度分数仍是未归一化值。为使这些分数可以直接解释为各专家在最终预测中的相对贡献，使用Softmax进行归一化。经Softmax处理后，每个权重均为非负值，并且3个权重之和为1：</w:t>
      </w:r>
      <w:r w:rsidRPr="00B14FA3">
        <w:rPr>
          <w:szCs w:val="21"/>
        </w:rPr>
      </w:r>
      <w:r w:rsidRPr="00B14FA3">
        <w:rPr>
          <w:szCs w:val="21"/>
        </w:rPr>
      </w:r>
      <w:r w:rsidRPr="00B14FA3">
        <w:rPr>
          <w:szCs w:val="21"/>
        </w:rPr>
      </w:r>
      <w:r w:rsidRPr="00B14FA3">
        <w:rPr>
          <w:szCs w:val="21"/>
        </w:rPr>
      </w:r>
    </w:p>
    <w:p w14:paraId="141E24D3"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m:t>
        </m:r>
        <m:f>
          <m:fPr>
            <m:ctrlPr>
              <w:rPr>
                <w:rFonts w:ascii="Cambria Math" w:eastAsia="Cambria Math" w:hAnsi="Cambria Math"/>
                <w:i/>
              </w:rPr>
            </m:ctrlPr>
          </m:fPr>
          <m:num>
            <m:func>
              <m:funcPr>
                <m:ctrlPr>
                  <w:rPr>
                    <w:rFonts w:ascii="Cambria Math" w:eastAsia="Cambria Math" w:hAnsi="Cambria Math"/>
                  </w:rPr>
                </m:ctrlPr>
              </m:funcPr>
              <m:fName>
                <m:r>
                  <m:rPr>
                    <m:sty m:val="p"/>
                  </m:rPr>
                  <w:rPr>
                    <w:rFonts w:ascii="Cambria Math" w:eastAsia="Cambria Math" w:hAnsi="Cambria Math"/>
                    <w:kern w:val="0"/>
                    <w:szCs w:val="20"/>
                  </w:rPr>
                  <m:t>exp</m:t>
                </m:r>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e>
                </m:d>
              </m:e>
            </m:func>
          </m:num>
          <m:den>
            <m:func>
              <m:funcPr>
                <m:ctrlPr>
                  <w:rPr>
                    <w:rFonts w:ascii="Cambria Math" w:eastAsia="Cambria Math" w:hAnsi="Cambria Math"/>
                  </w:rPr>
                </m:ctrlPr>
              </m:funcPr>
              <m:fName>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j∈S</m:t>
                        </m:r>
                      </m:e>
                    </m:d>
                    <m:r>
                      <m:rPr>
                        <m:sty m:val="p"/>
                      </m:rPr>
                      <w:rPr>
                        <w:rFonts w:ascii="Cambria Math" w:eastAsia="Cambria Math" w:hAnsi="Cambria Math"/>
                        <w:kern w:val="0"/>
                        <w:szCs w:val="20"/>
                      </w:rPr>
                      <m:t>exp</m:t>
                    </m:r>
                  </m:sub>
                </m:sSub>
                <m:ctrlPr>
                  <w:rPr>
                    <w:rFonts w:ascii="Cambria Math" w:eastAsia="Cambria Math" w:hAnsi="Cambria Math"/>
                    <w:i/>
                  </w:rPr>
                </m:ctrlPr>
              </m:fName>
              <m:e>
                <m:d>
                  <m:dPr>
                    <m:ctrlPr>
                      <w:rPr>
                        <w:rFonts w:ascii="Cambria Math" w:eastAsia="Cambria Math" w:hAnsi="Cambria Math"/>
                        <w:i/>
                      </w:rPr>
                    </m:ctrlPr>
                  </m:dPr>
                  <m:e>
                    <m:sSub>
                      <m:sSubPr>
                        <m:ctrlPr>
                          <w:rPr>
                            <w:rFonts w:ascii="Cambria Math" w:eastAsia="Cambria Math" w:hAnsi="Cambria Math"/>
                            <w:i/>
                          </w:rPr>
                        </m:ctrlPr>
                      </m:sSubPr>
                      <m:e>
                        <m:r>
                          <w:rPr>
                            <w:rFonts w:ascii="Cambria Math" w:eastAsia="Cambria Math" w:hAnsi="Cambria Math"/>
                            <w:kern w:val="0"/>
                            <w:szCs w:val="20"/>
                          </w:rPr>
                          <m:t>a</m:t>
                        </m:r>
                      </m:e>
                      <m:sub>
                        <m:d>
                          <m:dPr>
                            <m:begChr m:val="{"/>
                            <m:endChr m:val="}"/>
                            <m:ctrlPr>
                              <w:rPr>
                                <w:rFonts w:ascii="Cambria Math" w:eastAsia="Cambria Math" w:hAnsi="Cambria Math"/>
                                <w:i/>
                              </w:rPr>
                            </m:ctrlPr>
                          </m:dPr>
                          <m:e>
                            <m:r>
                              <w:rPr>
                                <w:rFonts w:ascii="Cambria Math" w:eastAsia="Cambria Math" w:hAnsi="Cambria Math"/>
                                <w:kern w:val="0"/>
                                <w:szCs w:val="20"/>
                              </w:rPr>
                              <m:t>n,j</m:t>
                            </m:r>
                          </m:e>
                        </m:d>
                      </m:sub>
                    </m:sSub>
                  </m:e>
                </m:d>
              </m:e>
            </m:func>
          </m:den>
        </m:f>
        <m:r>
          <w:rPr>
            <w:rFonts w:ascii="Cambria Math" w:eastAsia="Cambria Math" w:hAnsi="Cambria Math"/>
            <w:kern w:val="0"/>
            <w:szCs w:val="20"/>
          </w:rPr>
          <m:t xml:space="preserve">,     </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r>
          <w:rPr>
            <w:rFonts w:ascii="Cambria Math" w:eastAsia="Cambria Math" w:hAnsi="Cambria Math"/>
            <w:kern w:val="0"/>
            <w:szCs w:val="20"/>
          </w:rPr>
          <m:t xml:space="preserve">≥0,     </m:t>
        </m:r>
        <m:sSub>
          <m:sSubPr>
            <m:ctrlPr>
              <w:rPr>
                <w:rFonts w:ascii="Cambria Math" w:eastAsia="Cambria Math" w:hAnsi="Cambria Math"/>
                <w:i/>
              </w:rPr>
            </m:ctrlPr>
          </m:sSubPr>
          <m:e>
            <m:r>
              <w:rPr>
                <w:rFonts w:ascii="Cambria Math" w:eastAsia="Cambria Math" w:hAnsi="Cambria Math"/>
                <w:kern w:val="0"/>
                <w:szCs w:val="20"/>
              </w:rPr>
              <m:t>Σ</m:t>
            </m:r>
          </m:e>
          <m:sub>
            <m:r>
              <w:rPr>
                <w:rFonts w:ascii="Cambria Math" w:eastAsia="Cambria Math" w:hAnsi="Cambria Math"/>
                <w:kern w:val="0"/>
                <w:szCs w:val="20"/>
              </w:rPr>
              <m:t>s</m:t>
            </m:r>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ub>
            </m:sSub>
          </m:sub>
        </m:sSub>
        <m:r>
          <w:rPr>
            <w:rFonts w:ascii="Cambria Math" w:eastAsia="Cambria Math" w:hAnsi="Cambria Math"/>
            <w:kern w:val="0"/>
            <w:szCs w:val="20"/>
          </w:rPr>
          <m:t>=1.</m:t>
        </m:r>
      </m:oMath>
      <w:r w:rsidRPr="00B14FA3">
        <w:rPr>
          <w:rFonts w:ascii="Cambria Math" w:eastAsia="Cambria Math" w:hAnsi="Cambria Math"/>
          <w:kern w:val="0"/>
          <w:szCs w:val="20"/>
        </w:rPr>
        <w:tab/>
      </w:r>
      <w:r w:rsidRPr="00B14FA3">
        <w:rPr>
          <w:kern w:val="0"/>
          <w:szCs w:val="20"/>
        </w:rPr>
        <w:t>(12)</w:t>
      </w:r>
    </w:p>
    <w:p w14:paraId="63776B5F" w14:textId="77777777" w:rsidR="00B14FA3" w:rsidRPr="00B14FA3" w:rsidRDefault="00B14FA3" w:rsidP="00B14FA3">
      <w:pPr>
        <w:spacing w:line="360" w:lineRule="auto"/>
      </w:pPr>
      <w:r w:rsidRPr="00B14FA3">
        <w:rPr>
          <w:szCs w:val="21"/>
        </w:rPr>
        <w:t>最终预测为</w:t>
      </w:r>
    </w:p>
    <w:p w14:paraId="775F089B"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m:rPr>
                <m:sty m:val="bi"/>
              </m:rPr>
              <w:rPr>
                <w:rFonts w:ascii="Cambria Math" w:eastAsia="Cambria Math" w:hAnsi="Cambria Math"/>
                <w:kern w:val="0"/>
                <w:szCs w:val="20"/>
              </w:rPr>
              <m:t>Ŷ</m:t>
            </m:r>
          </m:e>
          <m:sub>
            <m:r>
              <w:rPr>
                <w:rFonts w:ascii="Cambria Math" w:eastAsia="Cambria Math" w:hAnsi="Cambria Math"/>
                <w:kern w:val="0"/>
                <w:szCs w:val="20"/>
              </w:rPr>
              <m:t>n</m:t>
            </m:r>
          </m:sub>
        </m:sSub>
        <m:r>
          <w:rPr>
            <w:rFonts w:ascii="Cambria Math" w:eastAsia="Cambria Math" w:hAnsi="Cambria Math"/>
            <w:kern w:val="0"/>
            <w:szCs w:val="20"/>
          </w:rPr>
          <m:t>=</m:t>
        </m:r>
        <m:sSub>
          <m:sSubPr>
            <m:ctrlPr>
              <w:rPr>
                <w:rFonts w:ascii="Cambria Math" w:eastAsia="Cambria Math" w:hAnsi="Cambria Math"/>
                <w:i/>
              </w:rPr>
            </m:ctrlPr>
          </m:sSub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s∈S</m:t>
                </m:r>
              </m:e>
            </m:d>
            <m:sSub>
              <m:sSubPr>
                <m:ctrlPr>
                  <w:rPr>
                    <w:rFonts w:ascii="Cambria Math" w:eastAsia="Cambria Math" w:hAnsi="Cambria Math"/>
                    <w:i/>
                  </w:rPr>
                </m:ctrlPr>
              </m:sSubPr>
              <m:e>
                <m:r>
                  <w:rPr>
                    <w:rFonts w:ascii="Cambria Math" w:eastAsia="Cambria Math" w:hAnsi="Cambria Math"/>
                    <w:kern w:val="0"/>
                    <w:szCs w:val="20"/>
                  </w:rPr>
                  <m:t>α</m:t>
                </m:r>
              </m:e>
              <m:sub>
                <m:d>
                  <m:dPr>
                    <m:begChr m:val="{"/>
                    <m:endChr m:val="}"/>
                    <m:ctrlPr>
                      <w:rPr>
                        <w:rFonts w:ascii="Cambria Math" w:eastAsia="Cambria Math" w:hAnsi="Cambria Math"/>
                        <w:i/>
                      </w:rPr>
                    </m:ctrlPr>
                  </m:dPr>
                  <m:e>
                    <m:r>
                      <w:rPr>
                        <w:rFonts w:ascii="Cambria Math" w:eastAsia="Cambria Math" w:hAnsi="Cambria Math"/>
                        <w:kern w:val="0"/>
                        <w:szCs w:val="20"/>
                      </w:rPr>
                      <m:t>n,s</m:t>
                    </m:r>
                  </m:e>
                </m:d>
                <m:sSubSup>
                  <m:sSubSupPr>
                    <m:ctrlPr>
                      <w:rPr>
                        <w:rFonts w:ascii="Cambria Math" w:eastAsia="Cambria Math" w:hAnsi="Cambria Math"/>
                        <w:i/>
                      </w:rPr>
                    </m:ctrlPr>
                  </m:sSubSupPr>
                  <m:e>
                    <m:r>
                      <m:rPr>
                        <m:sty m:val="bi"/>
                      </m:rPr>
                      <w:rPr>
                        <w:rFonts w:ascii="Cambria Math" w:eastAsia="Cambria Math" w:hAnsi="Cambria Math"/>
                        <w:kern w:val="0"/>
                        <w:szCs w:val="20"/>
                      </w:rPr>
                      <m:t>Ŷ</m:t>
                    </m:r>
                  </m:e>
                  <m:sub>
                    <m:r>
                      <w:rPr>
                        <w:rFonts w:ascii="Cambria Math" w:eastAsia="Cambria Math" w:hAnsi="Cambria Math"/>
                        <w:kern w:val="0"/>
                        <w:szCs w:val="20"/>
                      </w:rPr>
                      <m:t>n</m:t>
                    </m:r>
                  </m:sub>
                  <m:sup>
                    <m:d>
                      <m:dPr>
                        <m:begChr m:val="{"/>
                        <m:endChr m:val="}"/>
                        <m:ctrlPr>
                          <w:rPr>
                            <w:rFonts w:ascii="Cambria Math" w:eastAsia="Cambria Math" w:hAnsi="Cambria Math"/>
                            <w:i/>
                          </w:rPr>
                        </m:ctrlPr>
                      </m:dPr>
                      <m:e>
                        <m:d>
                          <m:dPr>
                            <m:ctrlPr>
                              <w:rPr>
                                <w:rFonts w:ascii="Cambria Math" w:eastAsia="Cambria Math" w:hAnsi="Cambria Math"/>
                                <w:i/>
                              </w:rPr>
                            </m:ctrlPr>
                          </m:dPr>
                          <m:e>
                            <m:r>
                              <w:rPr>
                                <w:rFonts w:ascii="Cambria Math" w:eastAsia="Cambria Math" w:hAnsi="Cambria Math"/>
                                <w:kern w:val="0"/>
                                <w:szCs w:val="20"/>
                              </w:rPr>
                              <m:t>s</m:t>
                            </m:r>
                          </m:e>
                        </m:d>
                      </m:e>
                    </m:d>
                  </m:sup>
                </m:sSubSup>
              </m:sub>
            </m:sSub>
          </m:sub>
        </m:sSub>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(13)</w:t>
      </w:r>
    </w:p>
    <w:p w14:paraId="13DA0E22" w14:textId="77777777" w:rsidR="00B14FA3" w:rsidRPr="00B14FA3" w:rsidRDefault="00B14FA3" w:rsidP="00B14FA3">
      <w:pPr>
        <w:spacing w:line="360" w:lineRule="auto"/>
      </w:pPr>
      <w:r>
        <w:rPr>
          <w:szCs w:val="21"/>
        </w:rPr>
        <w:t>式（13）利用上述权重对3个DLinear专家的预测结果进行加权求和，得到最终预测Ŷn。该组权重由输入窗口计算，并由同一窗口内的全部OD变量共享。为了区分多尺度结构、非等权分配与样本相关分配的作用，设置两种共享相同专家的对照：固定等权模型将三个尺度恒定设为1/3；全局可学习权重模型以三个可训练参数经Softmax得到一组常权重，对所有窗口共用。后者提供对输入相关权重更直接的性能对照，但路由器另有少量可训练参数。</w:t>
      </w:r>
      <w:r>
        <w:rPr>
          <w:szCs w:val="21"/>
        </w:rPr>
      </w:r>
      <w:r>
        <w:rPr>
          <w:szCs w:val="21"/>
        </w:rPr>
      </w:r>
      <w:r>
        <w:rPr>
          <w:i/>
          <w:iCs/>
          <w:szCs w:val="21"/>
        </w:rPr>
      </w:r>
      <w:r>
        <w:rPr>
          <w:i/>
          <w:iCs/>
          <w:szCs w:val="21"/>
          <w:vertAlign w:val="subscript"/>
        </w:rPr>
      </w:r>
      <w:r>
        <w:rPr>
          <w:szCs w:val="21"/>
        </w:rPr>
      </w:r>
      <w:r>
        <w:rPr>
          <w:szCs w:val="21"/>
        </w:rPr>
      </w:r>
    </w:p>
    <w:p w14:paraId="2F5CF084" w14:textId="77777777" w:rsidR="00B14FA3" w:rsidRPr="00B14FA3" w:rsidRDefault="00B14FA3" w:rsidP="00B14FA3">
      <w:pPr>
        <w:keepNext/>
        <w:keepLines/>
        <w:spacing w:before="80" w:after="20" w:line="415" w:lineRule="auto"/>
        <w:ind w:firstLine="0"/>
        <w:jc w:val="left"/>
        <w:outlineLvl w:val="1"/>
        <w:rPr>
          <w:rFonts w:eastAsia="黑体"/>
          <w:b/>
          <w:bCs/>
          <w:szCs w:val="32"/>
        </w:rPr>
      </w:pPr>
      <w:r>
        <w:rPr>
          <w:rFonts w:eastAsia="黑体"/>
          <w:b/>
          <w:bCs/>
          <w:szCs w:val="21"/>
        </w:rPr>
        <w:t xml:space="preserve">1.5 </w:t>
      </w:r>
      <w:r>
        <w:rPr>
          <w:rFonts w:eastAsia="黑体"/>
          <w:b/>
          <w:bCs/>
          <w:szCs w:val="21"/>
        </w:rPr>
        <w:t>训练目标与模型复杂度</w:t>
      </w:r>
    </w:p>
    <w:p w14:paraId="1B83BA58" w14:textId="77777777" w:rsidR="00B14FA3" w:rsidRPr="00B14FA3" w:rsidRDefault="00B14FA3" w:rsidP="00B14FA3">
      <w:pPr>
        <w:spacing w:line="360" w:lineRule="auto"/>
      </w:pPr>
      <w:r w:rsidRPr="00B14FA3">
        <w:rPr>
          <w:szCs w:val="21"/>
        </w:rPr>
        <w:t>模型训练以均方误差作为优化目标。误差在训练样本、未来H个预测时刻以及全部C个OD变量上共同计算，因此每次参数更新同时考虑不同预测步和不同OD维度的偏差。对应训练目标为</w:t>
      </w:r>
      <w:r w:rsidRPr="00B14FA3">
        <w:rPr>
          <w:szCs w:val="21"/>
        </w:rPr>
      </w:r>
      <w:r w:rsidRPr="00B14FA3">
        <w:rPr>
          <w:szCs w:val="21"/>
        </w:rPr>
      </w:r>
    </w:p>
    <w:p w14:paraId="279072E6"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rFonts w:ascii="Cambria Math" w:eastAsia="Cambria Math" w:hAnsi="Cambria Math"/>
          <w:kern w:val="0"/>
          <w:szCs w:val="20"/>
        </w:rPr>
        <w:tab/>
      </w:r>
      <m:oMath>
        <m:sSub>
          <m:sSubPr>
            <m:ctrlPr>
              <w:rPr>
                <w:rFonts w:ascii="Cambria Math" w:eastAsia="Cambria Math" w:hAnsi="Cambria Math"/>
                <w:i/>
              </w:rPr>
            </m:ctrlPr>
          </m:sSubPr>
          <m:e>
            <m:r>
              <w:rPr>
                <w:rFonts w:ascii="Cambria Math" w:eastAsia="Cambria Math" w:hAnsi="Cambria Math"/>
                <w:kern w:val="0"/>
                <w:szCs w:val="20"/>
              </w:rPr>
              <m:t>L</m:t>
            </m:r>
          </m:e>
          <m:sub>
            <m:d>
              <m:dPr>
                <m:begChr m:val="{"/>
                <m:endChr m:val="}"/>
                <m:ctrlPr>
                  <w:rPr>
                    <w:rFonts w:ascii="Cambria Math" w:eastAsia="Cambria Math" w:hAnsi="Cambria Math"/>
                    <w:i/>
                  </w:rPr>
                </m:ctrlPr>
              </m:dPr>
              <m:e>
                <m:r>
                  <m:rPr>
                    <m:sty m:val="p"/>
                  </m:rPr>
                  <w:rPr>
                    <w:rFonts w:ascii="Cambria Math" w:eastAsia="Cambria Math" w:hAnsi="Cambria Math"/>
                    <w:kern w:val="0"/>
                    <w:szCs w:val="20"/>
                  </w:rPr>
                  <m:t>MSE</m:t>
                </m:r>
              </m:e>
            </m:d>
          </m:sub>
        </m:sSub>
        <m:r>
          <w:rPr>
            <w:rFonts w:ascii="Cambria Math" w:eastAsia="Cambria Math" w:hAnsi="Cambria Math"/>
            <w:kern w:val="0"/>
            <w:szCs w:val="20"/>
          </w:rPr>
          <m:t>=</m:t>
        </m:r>
        <m:d>
          <m:dPr>
            <m:ctrlPr>
              <w:rPr>
                <w:rFonts w:ascii="Cambria Math" w:eastAsia="Cambria Math" w:hAnsi="Cambria Math"/>
                <w:i/>
              </w:rPr>
            </m:ctrlPr>
          </m:dPr>
          <m:e>
            <m:f>
              <m:fPr>
                <m:ctrlPr>
                  <w:rPr>
                    <w:rFonts w:ascii="Cambria Math" w:eastAsia="Cambria Math" w:hAnsi="Cambria Math"/>
                    <w:i/>
                  </w:rPr>
                </m:ctrlPr>
              </m:fPr>
              <m:num>
                <m:r>
                  <w:rPr>
                    <w:rFonts w:ascii="Cambria Math" w:eastAsia="Cambria Math" w:hAnsi="Cambria Math"/>
                    <w:kern w:val="0"/>
                    <w:szCs w:val="20"/>
                  </w:rPr>
                  <m:t>1</m:t>
                </m:r>
              </m:num>
              <m:den>
                <m:r>
                  <w:rPr>
                    <w:rFonts w:ascii="Cambria Math" w:eastAsia="Cambria Math" w:hAnsi="Cambria Math"/>
                    <w:kern w:val="0"/>
                    <w:szCs w:val="20"/>
                  </w:rPr>
                  <m:t>NHC</m:t>
                </m:r>
              </m:den>
            </m:f>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n=1</m:t>
                </m:r>
              </m:e>
            </m:d>
          </m:sub>
          <m:sup>
            <m:d>
              <m:dPr>
                <m:begChr m:val="{"/>
                <m:endChr m:val="}"/>
                <m:ctrlPr>
                  <w:rPr>
                    <w:rFonts w:ascii="Cambria Math" w:eastAsia="Cambria Math" w:hAnsi="Cambria Math"/>
                    <w:i/>
                  </w:rPr>
                </m:ctrlPr>
              </m:dPr>
              <m:e>
                <m:r>
                  <w:rPr>
                    <w:rFonts w:ascii="Cambria Math" w:eastAsia="Cambria Math" w:hAnsi="Cambria Math"/>
                    <w:kern w:val="0"/>
                    <w:szCs w:val="20"/>
                  </w:rPr>
                  <m:t>N</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h=1</m:t>
                    </m:r>
                  </m:e>
                </m:d>
              </m:sub>
              <m:sup>
                <m:d>
                  <m:dPr>
                    <m:begChr m:val="{"/>
                    <m:endChr m:val="}"/>
                    <m:ctrlPr>
                      <w:rPr>
                        <w:rFonts w:ascii="Cambria Math" w:eastAsia="Cambria Math" w:hAnsi="Cambria Math"/>
                        <w:i/>
                      </w:rPr>
                    </m:ctrlPr>
                  </m:dPr>
                  <m:e>
                    <m:r>
                      <w:rPr>
                        <w:rFonts w:ascii="Cambria Math" w:eastAsia="Cambria Math" w:hAnsi="Cambria Math"/>
                        <w:kern w:val="0"/>
                        <w:szCs w:val="20"/>
                      </w:rPr>
                      <m:t>H</m:t>
                    </m:r>
                  </m:e>
                </m:d>
                <m:sSubSup>
                  <m:sSubSupPr>
                    <m:ctrlPr>
                      <w:rPr>
                        <w:rFonts w:ascii="Cambria Math" w:eastAsia="Cambria Math" w:hAnsi="Cambria Math"/>
                        <w:i/>
                      </w:rPr>
                    </m:ctrlPr>
                  </m:sSubSupPr>
                  <m:e>
                    <m:r>
                      <w:rPr>
                        <w:rFonts w:ascii="Cambria Math" w:eastAsia="Cambria Math" w:hAnsi="Cambria Math"/>
                        <w:kern w:val="0"/>
                        <w:szCs w:val="20"/>
                      </w:rPr>
                      <m:t>Σ</m:t>
                    </m:r>
                  </m:e>
                  <m:sub>
                    <m:d>
                      <m:dPr>
                        <m:begChr m:val="{"/>
                        <m:endChr m:val="}"/>
                        <m:ctrlPr>
                          <w:rPr>
                            <w:rFonts w:ascii="Cambria Math" w:eastAsia="Cambria Math" w:hAnsi="Cambria Math"/>
                            <w:i/>
                          </w:rPr>
                        </m:ctrlPr>
                      </m:dPr>
                      <m:e>
                        <m:r>
                          <w:rPr>
                            <w:rFonts w:ascii="Cambria Math" w:eastAsia="Cambria Math" w:hAnsi="Cambria Math"/>
                            <w:kern w:val="0"/>
                            <w:szCs w:val="20"/>
                          </w:rPr>
                          <m:t>c=1</m:t>
                        </m:r>
                      </m:e>
                    </m:d>
                  </m:sub>
                  <m:sup>
                    <m:d>
                      <m:dPr>
                        <m:begChr m:val="{"/>
                        <m:endChr m:val="}"/>
                        <m:ctrlPr>
                          <w:rPr>
                            <w:rFonts w:ascii="Cambria Math" w:eastAsia="Cambria Math" w:hAnsi="Cambria Math"/>
                            <w:i/>
                          </w:rPr>
                        </m:ctrlPr>
                      </m:dPr>
                      <m:e>
                        <m:r>
                          <w:rPr>
                            <w:rFonts w:ascii="Cambria Math" w:eastAsia="Cambria Math" w:hAnsi="Cambria Math"/>
                            <w:kern w:val="0"/>
                            <w:szCs w:val="20"/>
                          </w:rPr>
                          <m:t>C</m:t>
                        </m:r>
                      </m:e>
                    </m:d>
                    <m:sSup>
                      <m:sSupPr>
                        <m:ctrlPr>
                          <w:rPr>
                            <w:rFonts w:ascii="Cambria Math" w:eastAsia="Cambria Math" w:hAnsi="Cambria Math"/>
                            <w:i/>
                          </w:rPr>
                        </m:ctrlPr>
                      </m:sSupPr>
                      <m:e>
                        <m:d>
                          <m:dPr>
                            <m:ctrlPr>
                              <w:rPr>
                                <w:rFonts w:ascii="Cambria Math" w:eastAsia="Cambria Math" w:hAnsi="Cambria Math"/>
                                <w:i/>
                              </w:rPr>
                            </m:ctrlPr>
                          </m:dPr>
                          <m:e>
                            <m:sSub>
                              <m:sSubPr>
                                <m:ctrlPr>
                                  <w:rPr>
                                    <w:rFonts w:ascii="Cambria Math" w:eastAsia="Cambria Math" w:hAnsi="Cambria Math"/>
                                    <w:i/>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rPr>
                                    </m:ctrlPr>
                                  </m:dPr>
                                  <m:e>
                                    <m:r>
                                      <w:rPr>
                                        <w:rFonts w:ascii="Cambria Math" w:eastAsia="Cambria Math" w:hAnsi="Cambria Math"/>
                                        <w:kern w:val="0"/>
                                        <w:szCs w:val="20"/>
                                      </w:rPr>
                                      <m:t>n,h,c</m:t>
                                    </m:r>
                                  </m:e>
                                </m:d>
                              </m:sub>
                            </m:sSub>
                          </m:e>
                        </m:d>
                      </m:e>
                      <m:sup>
                        <m:r>
                          <w:rPr>
                            <w:rFonts w:ascii="Cambria Math" w:eastAsia="Cambria Math" w:hAnsi="Cambria Math"/>
                            <w:kern w:val="0"/>
                            <w:szCs w:val="20"/>
                          </w:rPr>
                          <m:t>2</m:t>
                        </m:r>
                      </m:sup>
                    </m:sSup>
                  </m:sup>
                </m:sSubSup>
              </m:sup>
            </m:sSubSup>
          </m:sup>
        </m:sSubSup>
        <m:r>
          <w:rPr>
            <w:rFonts w:ascii="Cambria Math" w:eastAsia="Cambria Math" w:hAnsi="Cambria Math"/>
            <w:kern w:val="0"/>
            <w:szCs w:val="20"/>
          </w:rPr>
          <m:t>.</m:t>
        </m:r>
      </m:oMath>
      <w:r w:rsidRPr="00B14FA3">
        <w:rPr>
          <w:rFonts w:ascii="Cambria Math" w:eastAsia="Cambria Math" w:hAnsi="Cambria Math"/>
          <w:kern w:val="0"/>
          <w:szCs w:val="20"/>
        </w:rPr>
        <w:tab/>
      </w:r>
      <w:r w:rsidRPr="00B14FA3">
        <w:rPr>
          <w:kern w:val="0"/>
          <w:szCs w:val="20"/>
        </w:rPr>
        <w:t>(14)</w:t>
      </w:r>
    </w:p>
    <w:p w14:paraId="6B94AC7B" w14:textId="77777777" w:rsidR="00B14FA3" w:rsidRPr="00B14FA3" w:rsidRDefault="00B14FA3" w:rsidP="00B14FA3">
      <w:pPr>
        <w:spacing w:line="360" w:lineRule="auto"/>
      </w:pPr>
      <w:r>
        <w:rPr>
          <w:szCs w:val="21"/>
        </w:rPr>
        <w:t>参数训练使用Adam优化器，并以验证集MSE选择最终模型。单尺度DLinear包含4656个可训练参数；三个尺度专家的固定等权模型包含8208个参数；增加三个全局权重参数后为8211个参数；样本级路由模型为8339个参数。路由网络相对固定等权模型增加131个参数，相对全局权重模型增加128个参数。各多尺度模型共享专家结构，全局权重模型因此提供较接近的对照；两者仍有128个参数的差异，不能将全部误差差异直接归因于逐窗口加权。</w:t>
      </w:r>
      <w:r>
        <w:rPr>
          <w:szCs w:val="21"/>
        </w:rPr>
      </w:r>
      <w:r>
        <w:rPr>
          <w:szCs w:val="21"/>
        </w:rPr>
      </w:r>
      <w:r>
        <w:rPr>
          <w:szCs w:val="21"/>
        </w:rPr>
      </w:r>
      <w:r>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r w:rsidRPr="00B14FA3">
        <w:rPr>
          <w:szCs w:val="21"/>
        </w:rPr>
      </w:r>
    </w:p>
    <w:p>
      <w:pPr/>
      <w:r>
        <w:t>模型的计算过程可以概括为三个环节：平均池化把同一历史窗口转换为3个时间分辨率，DLinear专家分别给出候选预测，路由网络再根据原始窗口的4个统计量确定融合权重。多尺度序列决定模型从哪些时间分辨率读取历史信息，尺度专家完成各自的预测，路由网络只负责组合结果。后续实验据此设置单尺度DLinear、固定等权多尺度、全局可学习固定权重模型和本文方法，用同一组专家结构区分多尺度信息与样本级加权的作用。</w:t>
      </w:r>
    </w:p>
    <w:p w14:paraId="41A9DD19" w14:textId="77777777" w:rsidR="00B14FA3" w:rsidRPr="00B14FA3" w:rsidRDefault="00B14FA3" w:rsidP="00B14FA3">
      <w:pPr>
        <w:keepNext/>
        <w:keepLines/>
        <w:spacing w:before="80" w:after="20"/>
        <w:ind w:firstLine="0"/>
        <w:jc w:val="left"/>
        <w:outlineLvl w:val="1"/>
        <w:rPr>
          <w:rFonts w:eastAsia="黑体"/>
          <w:b/>
          <w:bCs/>
          <w:szCs w:val="32"/>
        </w:rPr>
      </w:pPr>
      <w:r w:rsidRPr="00B14FA3">
        <w:rPr>
          <w:rFonts w:ascii="Arial" w:eastAsia="黑体" w:hAnsi="Arial"/>
          <w:b/>
          <w:bCs/>
          <w:color w:val="000000"/>
          <w:sz w:val="24"/>
          <w:szCs w:val="32"/>
        </w:rPr>
        <w:t xml:space="preserve">2 </w:t>
      </w:r>
      <w:r w:rsidRPr="00B14FA3">
        <w:rPr>
          <w:rFonts w:ascii="Arial" w:eastAsia="黑体" w:hAnsi="Arial"/>
          <w:b/>
          <w:bCs/>
          <w:color w:val="000000"/>
          <w:sz w:val="24"/>
          <w:szCs w:val="32"/>
        </w:rPr>
        <w:t>实验与结果分析</w:t>
      </w:r>
    </w:p>
    <w:p>
      <w:pPr/>
      <w:r>
        <w:t>实验按外部基线、核心消融和路由行为三个层次组织。DLinear和LightTS提供相同预测任务下的外部误差参照；固定等权、全局可学习常权重与样本级路由模型共享三个尺度专家，依次检验多尺度结构、非等权融合及输入相关权重的作用；八个共同随机种子的配对结果和逐种子权重分析用于评估结果波动。</w:t>
      </w:r>
    </w:p>
    <w:p w14:paraId="2C93F002"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2.1 </w:t>
      </w:r>
      <w:r>
        <w:rPr>
          <w:rFonts w:ascii="Arial" w:eastAsia="黑体" w:hAnsi="Arial"/>
          <w:b/>
          <w:bCs/>
          <w:color w:val="000000"/>
          <w:szCs w:val="21"/>
        </w:rPr>
        <w:t>数据集与实验设置</w:t>
      </w:r>
    </w:p>
    <w:p w14:paraId="426B5418" w14:textId="77777777" w:rsidR="00B14FA3" w:rsidRPr="00B14FA3" w:rsidRDefault="00B14FA3" w:rsidP="00B14FA3">
      <w:r>
        <w:rPr>
          <w:color w:val="000000"/>
          <w:szCs w:val="21"/>
        </w:rPr>
        <w:t>实验数据取自CESNET TS-Zoo[7]，包括1 h聚合的Abilene[8]和GÉANT[9]骨干网流量矩阵。Abilene共有4656个时间点，保留144维有效OD流量；GÉANT共有2849个时间点，去除恒定通道后保留524维有效OD流量。两者在序列长度和变量规模上差异较大，能够在相同预测流程下提供不同的数据条件。两个数据集均按时间顺序以6∶2∶2划分为训练集、验证集和测试集，输入长度L=96，预测长度H=24，预处理方式与第1.1节一致。表1列出了数据规模和窗口数量。</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A85EE9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1 </w:t>
      </w:r>
      <w:r>
        <w:rPr>
          <w:rFonts w:eastAsia="黑体"/>
          <w:b/>
          <w:color w:val="000000"/>
          <w:sz w:val="18"/>
        </w:rPr>
        <w:t>数据集与预测任务设置</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200"/>
        <w:gridCol w:w="1100"/>
        <w:gridCol w:w="1100"/>
        <w:gridCol w:w="2300"/>
        <w:gridCol w:w="2300"/>
        <w:gridCol w:w="1000"/>
      </w:tblGrid>
      <w:tr w:rsidR="00B10182" w14:paraId="4EA6D132" w14:textId="77777777">
        <w:trPr>
          <w:cantSplit/>
          <w:tblHeader/>
          <w:jc w:val="center"/>
        </w:trPr>
        <w:tc>
          <w:tcPr>
            <w:tcW w:w="1200" w:type="dxa"/>
            <w:tcBorders>
              <w:bottom w:val="single" w:sz="8" w:space="0" w:color="000000"/>
            </w:tcBorders>
            <w:tcMar>
              <w:top w:w="55" w:type="dxa"/>
              <w:left w:w="70" w:type="dxa"/>
              <w:bottom w:w="55" w:type="dxa"/>
              <w:right w:w="70" w:type="dxa"/>
            </w:tcMar>
            <w:vAlign w:val="center"/>
            <w:hideMark/>
          </w:tcPr>
          <w:p w14:paraId="6F1FEB54" w14:textId="77777777" w:rsidR="00B14FA3" w:rsidRPr="00B14FA3" w:rsidRDefault="00B14FA3" w:rsidP="00B14FA3">
            <w:pPr>
              <w:keepNext/>
              <w:ind w:firstLine="0"/>
              <w:jc w:val="center"/>
            </w:pPr>
            <w:r>
              <w:rPr>
                <w:b/>
                <w:color w:val="000000"/>
                <w:szCs w:val="21"/>
              </w:rPr>
              <w:t>数据集</w:t>
            </w:r>
          </w:p>
        </w:tc>
        <w:tc>
          <w:tcPr>
            <w:tcW w:w="1100" w:type="dxa"/>
            <w:tcBorders>
              <w:bottom w:val="single" w:sz="8" w:space="0" w:color="000000"/>
            </w:tcBorders>
            <w:tcMar>
              <w:top w:w="55" w:type="dxa"/>
              <w:left w:w="70" w:type="dxa"/>
              <w:bottom w:w="55" w:type="dxa"/>
              <w:right w:w="70" w:type="dxa"/>
            </w:tcMar>
            <w:vAlign w:val="center"/>
            <w:hideMark/>
          </w:tcPr>
          <w:p w14:paraId="3693DDBE" w14:textId="77777777" w:rsidR="00B14FA3" w:rsidRPr="00B14FA3" w:rsidRDefault="00B14FA3" w:rsidP="00B14FA3">
            <w:pPr>
              <w:keepNext/>
              <w:ind w:firstLine="0"/>
              <w:jc w:val="center"/>
            </w:pPr>
            <w:r>
              <w:rPr>
                <w:b/>
                <w:color w:val="000000"/>
                <w:szCs w:val="21"/>
              </w:rPr>
              <w:t>时间点</w:t>
            </w:r>
          </w:p>
        </w:tc>
        <w:tc>
          <w:tcPr>
            <w:tcW w:w="1100" w:type="dxa"/>
            <w:tcBorders>
              <w:bottom w:val="single" w:sz="8" w:space="0" w:color="000000"/>
            </w:tcBorders>
            <w:tcMar>
              <w:top w:w="55" w:type="dxa"/>
              <w:left w:w="70" w:type="dxa"/>
              <w:bottom w:w="55" w:type="dxa"/>
              <w:right w:w="70" w:type="dxa"/>
            </w:tcMar>
            <w:vAlign w:val="center"/>
            <w:hideMark/>
          </w:tcPr>
          <w:p w14:paraId="61AE8EF9" w14:textId="77777777" w:rsidR="00B14FA3" w:rsidRPr="00B14FA3" w:rsidRDefault="00B14FA3" w:rsidP="00B14FA3">
            <w:pPr>
              <w:keepNext/>
              <w:ind w:firstLine="0"/>
              <w:jc w:val="center"/>
            </w:pPr>
            <w:r>
              <w:rPr>
                <w:b/>
                <w:color w:val="000000"/>
                <w:szCs w:val="21"/>
              </w:rPr>
              <w:t>有效变量</w:t>
            </w:r>
            <w:r>
              <w:rPr>
                <w:b/>
                <w:color w:val="000000"/>
                <w:szCs w:val="21"/>
              </w:rPr>
              <w:t>C</w:t>
            </w:r>
          </w:p>
        </w:tc>
        <w:tc>
          <w:tcPr>
            <w:tcW w:w="2300" w:type="dxa"/>
            <w:tcBorders>
              <w:bottom w:val="single" w:sz="8" w:space="0" w:color="000000"/>
            </w:tcBorders>
            <w:tcMar>
              <w:top w:w="55" w:type="dxa"/>
              <w:left w:w="70" w:type="dxa"/>
              <w:bottom w:w="55" w:type="dxa"/>
              <w:right w:w="70" w:type="dxa"/>
            </w:tcMar>
            <w:vAlign w:val="center"/>
            <w:hideMark/>
          </w:tcPr>
          <w:p w14:paraId="00AFD535"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测试时间点</w:t>
            </w:r>
          </w:p>
        </w:tc>
        <w:tc>
          <w:tcPr>
            <w:tcW w:w="2300" w:type="dxa"/>
            <w:tcBorders>
              <w:bottom w:val="single" w:sz="8" w:space="0" w:color="000000"/>
            </w:tcBorders>
            <w:tcMar>
              <w:top w:w="55" w:type="dxa"/>
              <w:left w:w="70" w:type="dxa"/>
              <w:bottom w:w="55" w:type="dxa"/>
              <w:right w:w="70" w:type="dxa"/>
            </w:tcMar>
            <w:vAlign w:val="center"/>
            <w:hideMark/>
          </w:tcPr>
          <w:p w14:paraId="7492F132" w14:textId="77777777" w:rsidR="00B14FA3" w:rsidRPr="00B14FA3" w:rsidRDefault="00B14FA3" w:rsidP="00B14FA3">
            <w:pPr>
              <w:keepNext/>
              <w:ind w:firstLine="0"/>
              <w:jc w:val="center"/>
            </w:pPr>
            <w:r>
              <w:rPr>
                <w:b/>
                <w:color w:val="000000"/>
                <w:szCs w:val="21"/>
              </w:rPr>
              <w:t>训练</w:t>
            </w:r>
            <w:r>
              <w:rPr>
                <w:b/>
                <w:color w:val="000000"/>
                <w:szCs w:val="21"/>
              </w:rPr>
              <w:t>/</w:t>
            </w:r>
            <w:r>
              <w:rPr>
                <w:b/>
                <w:color w:val="000000"/>
                <w:szCs w:val="21"/>
              </w:rPr>
              <w:t>验证</w:t>
            </w:r>
            <w:r>
              <w:rPr>
                <w:b/>
                <w:color w:val="000000"/>
                <w:szCs w:val="21"/>
              </w:rPr>
              <w:t>/</w:t>
            </w:r>
            <w:r>
              <w:rPr>
                <w:b/>
                <w:color w:val="000000"/>
                <w:szCs w:val="21"/>
              </w:rPr>
              <w:t>测试窗口</w:t>
            </w:r>
          </w:p>
        </w:tc>
        <w:tc>
          <w:tcPr>
            <w:tcW w:w="1000" w:type="dxa"/>
            <w:tcBorders>
              <w:bottom w:val="single" w:sz="8" w:space="0" w:color="000000"/>
            </w:tcBorders>
            <w:tcMar>
              <w:top w:w="55" w:type="dxa"/>
              <w:left w:w="70" w:type="dxa"/>
              <w:bottom w:w="55" w:type="dxa"/>
              <w:right w:w="70" w:type="dxa"/>
            </w:tcMar>
            <w:vAlign w:val="center"/>
            <w:hideMark/>
          </w:tcPr>
          <w:p w14:paraId="443C0C0B" w14:textId="77777777" w:rsidR="00B14FA3" w:rsidRPr="00B14FA3" w:rsidRDefault="00B14FA3" w:rsidP="00B14FA3">
            <w:pPr>
              <w:keepNext/>
              <w:ind w:firstLine="0"/>
              <w:jc w:val="center"/>
            </w:pPr>
            <w:r>
              <w:rPr>
                <w:b/>
                <w:color w:val="000000"/>
                <w:szCs w:val="21"/>
              </w:rPr>
              <w:t>L/H</w:t>
            </w:r>
          </w:p>
        </w:tc>
      </w:tr>
      <w:tr w:rsidR="00B10182" w14:paraId="60662C3F"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70B444C7" w14:textId="77777777" w:rsidR="00B14FA3" w:rsidRPr="00B14FA3" w:rsidRDefault="00B14FA3" w:rsidP="00B14FA3">
            <w:pPr>
              <w:keepNext/>
              <w:ind w:firstLine="0"/>
              <w:jc w:val="left"/>
            </w:pPr>
            <w:r>
              <w:rPr>
                <w:color w:val="000000"/>
                <w:szCs w:val="21"/>
              </w:rPr>
              <w:t>Abilene</w:t>
            </w:r>
          </w:p>
        </w:tc>
        <w:tc>
          <w:tcPr>
            <w:tcW w:w="1100" w:type="dxa"/>
            <w:tcBorders>
              <w:top w:val="nil"/>
              <w:left w:val="nil"/>
              <w:bottom w:val="nil"/>
              <w:right w:val="nil"/>
            </w:tcBorders>
            <w:tcMar>
              <w:top w:w="55" w:type="dxa"/>
              <w:left w:w="70" w:type="dxa"/>
              <w:bottom w:w="55" w:type="dxa"/>
              <w:right w:w="70" w:type="dxa"/>
            </w:tcMar>
            <w:vAlign w:val="center"/>
            <w:hideMark/>
          </w:tcPr>
          <w:p w14:paraId="4EBF696C" w14:textId="77777777" w:rsidR="00B14FA3" w:rsidRPr="00B14FA3" w:rsidRDefault="00B14FA3" w:rsidP="00B14FA3">
            <w:pPr>
              <w:keepNext/>
              <w:ind w:firstLine="0"/>
              <w:jc w:val="left"/>
            </w:pPr>
            <w:r>
              <w:rPr>
                <w:color w:val="000000"/>
                <w:szCs w:val="21"/>
              </w:rPr>
              <w:t>4656</w:t>
            </w:r>
          </w:p>
        </w:tc>
        <w:tc>
          <w:tcPr>
            <w:tcW w:w="1100" w:type="dxa"/>
            <w:tcBorders>
              <w:top w:val="nil"/>
              <w:left w:val="nil"/>
              <w:bottom w:val="nil"/>
              <w:right w:val="nil"/>
            </w:tcBorders>
            <w:tcMar>
              <w:top w:w="55" w:type="dxa"/>
              <w:left w:w="70" w:type="dxa"/>
              <w:bottom w:w="55" w:type="dxa"/>
              <w:right w:w="70" w:type="dxa"/>
            </w:tcMar>
            <w:vAlign w:val="center"/>
            <w:hideMark/>
          </w:tcPr>
          <w:p w14:paraId="203C3A10" w14:textId="77777777" w:rsidR="00B14FA3" w:rsidRPr="00B14FA3" w:rsidRDefault="00B14FA3" w:rsidP="00B14FA3">
            <w:pPr>
              <w:keepNext/>
              <w:ind w:firstLine="0"/>
              <w:jc w:val="left"/>
            </w:pPr>
            <w:r>
              <w:rPr>
                <w:color w:val="000000"/>
                <w:szCs w:val="21"/>
              </w:rPr>
              <w:t>144</w:t>
            </w:r>
          </w:p>
        </w:tc>
        <w:tc>
          <w:tcPr>
            <w:tcW w:w="2300" w:type="dxa"/>
            <w:tcBorders>
              <w:top w:val="nil"/>
              <w:left w:val="nil"/>
              <w:bottom w:val="nil"/>
              <w:right w:val="nil"/>
            </w:tcBorders>
            <w:tcMar>
              <w:top w:w="55" w:type="dxa"/>
              <w:left w:w="70" w:type="dxa"/>
              <w:bottom w:w="55" w:type="dxa"/>
              <w:right w:w="70" w:type="dxa"/>
            </w:tcMar>
            <w:vAlign w:val="center"/>
            <w:hideMark/>
          </w:tcPr>
          <w:p w14:paraId="418C4BE2" w14:textId="77777777" w:rsidR="00B14FA3" w:rsidRPr="00B14FA3" w:rsidRDefault="00B14FA3" w:rsidP="00B14FA3">
            <w:pPr>
              <w:keepNext/>
              <w:ind w:firstLine="0"/>
              <w:jc w:val="left"/>
            </w:pPr>
            <w:r>
              <w:rPr>
                <w:color w:val="000000"/>
                <w:szCs w:val="21"/>
              </w:rPr>
              <w:t>2793/931/932</w:t>
            </w:r>
          </w:p>
        </w:tc>
        <w:tc>
          <w:tcPr>
            <w:tcW w:w="2300" w:type="dxa"/>
            <w:tcBorders>
              <w:top w:val="nil"/>
              <w:left w:val="nil"/>
              <w:bottom w:val="nil"/>
              <w:right w:val="nil"/>
            </w:tcBorders>
            <w:tcMar>
              <w:top w:w="55" w:type="dxa"/>
              <w:left w:w="70" w:type="dxa"/>
              <w:bottom w:w="55" w:type="dxa"/>
              <w:right w:w="70" w:type="dxa"/>
            </w:tcMar>
            <w:vAlign w:val="center"/>
            <w:hideMark/>
          </w:tcPr>
          <w:p w14:paraId="3E47EF4C" w14:textId="77777777" w:rsidR="00B14FA3" w:rsidRPr="00B14FA3" w:rsidRDefault="00B14FA3" w:rsidP="00B14FA3">
            <w:pPr>
              <w:keepNext/>
              <w:ind w:firstLine="0"/>
              <w:jc w:val="left"/>
            </w:pPr>
            <w:r>
              <w:rPr>
                <w:color w:val="000000"/>
                <w:szCs w:val="21"/>
              </w:rPr>
              <w:t>2674/812/813</w:t>
            </w:r>
          </w:p>
        </w:tc>
        <w:tc>
          <w:tcPr>
            <w:tcW w:w="1000" w:type="dxa"/>
            <w:tcBorders>
              <w:top w:val="nil"/>
              <w:left w:val="nil"/>
              <w:bottom w:val="nil"/>
              <w:right w:val="nil"/>
            </w:tcBorders>
            <w:tcMar>
              <w:top w:w="55" w:type="dxa"/>
              <w:left w:w="70" w:type="dxa"/>
              <w:bottom w:w="55" w:type="dxa"/>
              <w:right w:w="70" w:type="dxa"/>
            </w:tcMar>
            <w:vAlign w:val="center"/>
            <w:hideMark/>
          </w:tcPr>
          <w:p w14:paraId="68B41A69" w14:textId="77777777" w:rsidR="00B14FA3" w:rsidRPr="00B14FA3" w:rsidRDefault="00B14FA3" w:rsidP="00B14FA3">
            <w:pPr>
              <w:keepNext/>
              <w:ind w:firstLine="0"/>
              <w:jc w:val="left"/>
            </w:pPr>
            <w:r>
              <w:rPr>
                <w:color w:val="000000"/>
                <w:szCs w:val="21"/>
              </w:rPr>
              <w:t>96/24</w:t>
            </w:r>
          </w:p>
        </w:tc>
      </w:tr>
      <w:tr w:rsidR="00B10182" w14:paraId="026887DD" w14:textId="77777777">
        <w:trPr>
          <w:cantSplit/>
          <w:jc w:val="center"/>
        </w:trPr>
        <w:tc>
          <w:tcPr>
            <w:tcW w:w="1200" w:type="dxa"/>
            <w:tcBorders>
              <w:top w:val="nil"/>
              <w:left w:val="nil"/>
              <w:bottom w:val="nil"/>
              <w:right w:val="nil"/>
            </w:tcBorders>
            <w:tcMar>
              <w:top w:w="55" w:type="dxa"/>
              <w:left w:w="70" w:type="dxa"/>
              <w:bottom w:w="55" w:type="dxa"/>
              <w:right w:w="70" w:type="dxa"/>
            </w:tcMar>
            <w:vAlign w:val="center"/>
            <w:hideMark/>
          </w:tcPr>
          <w:p w14:paraId="4ABC61A0" w14:textId="77777777" w:rsidR="00B14FA3" w:rsidRPr="00B14FA3" w:rsidRDefault="00B14FA3" w:rsidP="00B14FA3">
            <w:pPr>
              <w:keepNext/>
              <w:ind w:firstLine="0"/>
              <w:jc w:val="left"/>
            </w:pPr>
            <w:r>
              <w:rPr>
                <w:color w:val="000000"/>
                <w:szCs w:val="21"/>
              </w:rPr>
              <w:t>GÉANT</w:t>
            </w:r>
          </w:p>
        </w:tc>
        <w:tc>
          <w:tcPr>
            <w:tcW w:w="1100" w:type="dxa"/>
            <w:tcBorders>
              <w:top w:val="nil"/>
              <w:left w:val="nil"/>
              <w:bottom w:val="nil"/>
              <w:right w:val="nil"/>
            </w:tcBorders>
            <w:tcMar>
              <w:top w:w="55" w:type="dxa"/>
              <w:left w:w="70" w:type="dxa"/>
              <w:bottom w:w="55" w:type="dxa"/>
              <w:right w:w="70" w:type="dxa"/>
            </w:tcMar>
            <w:vAlign w:val="center"/>
            <w:hideMark/>
          </w:tcPr>
          <w:p w14:paraId="37FA10D1" w14:textId="77777777" w:rsidR="00B14FA3" w:rsidRPr="00B14FA3" w:rsidRDefault="00B14FA3" w:rsidP="00B14FA3">
            <w:pPr>
              <w:keepNext/>
              <w:ind w:firstLine="0"/>
              <w:jc w:val="left"/>
            </w:pPr>
            <w:r>
              <w:rPr>
                <w:color w:val="000000"/>
                <w:szCs w:val="21"/>
              </w:rPr>
              <w:t>2849</w:t>
            </w:r>
          </w:p>
        </w:tc>
        <w:tc>
          <w:tcPr>
            <w:tcW w:w="1100" w:type="dxa"/>
            <w:tcBorders>
              <w:top w:val="nil"/>
              <w:left w:val="nil"/>
              <w:bottom w:val="nil"/>
              <w:right w:val="nil"/>
            </w:tcBorders>
            <w:tcMar>
              <w:top w:w="55" w:type="dxa"/>
              <w:left w:w="70" w:type="dxa"/>
              <w:bottom w:w="55" w:type="dxa"/>
              <w:right w:w="70" w:type="dxa"/>
            </w:tcMar>
            <w:vAlign w:val="center"/>
            <w:hideMark/>
          </w:tcPr>
          <w:p w14:paraId="0F63E5AA" w14:textId="77777777" w:rsidR="00B14FA3" w:rsidRPr="00B14FA3" w:rsidRDefault="00B14FA3" w:rsidP="00B14FA3">
            <w:pPr>
              <w:keepNext/>
              <w:ind w:firstLine="0"/>
              <w:jc w:val="left"/>
            </w:pPr>
            <w:r>
              <w:rPr>
                <w:color w:val="000000"/>
                <w:szCs w:val="21"/>
              </w:rPr>
              <w:t>524</w:t>
            </w:r>
          </w:p>
        </w:tc>
        <w:tc>
          <w:tcPr>
            <w:tcW w:w="2300" w:type="dxa"/>
            <w:tcBorders>
              <w:top w:val="nil"/>
              <w:left w:val="nil"/>
              <w:bottom w:val="nil"/>
              <w:right w:val="nil"/>
            </w:tcBorders>
            <w:tcMar>
              <w:top w:w="55" w:type="dxa"/>
              <w:left w:w="70" w:type="dxa"/>
              <w:bottom w:w="55" w:type="dxa"/>
              <w:right w:w="70" w:type="dxa"/>
            </w:tcMar>
            <w:vAlign w:val="center"/>
            <w:hideMark/>
          </w:tcPr>
          <w:p w14:paraId="066E6608" w14:textId="77777777" w:rsidR="00B14FA3" w:rsidRPr="00B14FA3" w:rsidRDefault="00B14FA3" w:rsidP="00B14FA3">
            <w:pPr>
              <w:keepNext/>
              <w:ind w:firstLine="0"/>
              <w:jc w:val="left"/>
            </w:pPr>
            <w:r>
              <w:rPr>
                <w:color w:val="000000"/>
                <w:szCs w:val="21"/>
              </w:rPr>
              <w:t>1709/570/570</w:t>
            </w:r>
          </w:p>
        </w:tc>
        <w:tc>
          <w:tcPr>
            <w:tcW w:w="2300" w:type="dxa"/>
            <w:tcBorders>
              <w:top w:val="nil"/>
              <w:left w:val="nil"/>
              <w:bottom w:val="nil"/>
              <w:right w:val="nil"/>
            </w:tcBorders>
            <w:tcMar>
              <w:top w:w="55" w:type="dxa"/>
              <w:left w:w="70" w:type="dxa"/>
              <w:bottom w:w="55" w:type="dxa"/>
              <w:right w:w="70" w:type="dxa"/>
            </w:tcMar>
            <w:vAlign w:val="center"/>
            <w:hideMark/>
          </w:tcPr>
          <w:p w14:paraId="544CE805" w14:textId="77777777" w:rsidR="00B14FA3" w:rsidRPr="00B14FA3" w:rsidRDefault="00B14FA3" w:rsidP="00B14FA3">
            <w:pPr>
              <w:keepNext/>
              <w:ind w:firstLine="0"/>
              <w:jc w:val="left"/>
            </w:pPr>
            <w:r>
              <w:rPr>
                <w:color w:val="000000"/>
                <w:szCs w:val="21"/>
              </w:rPr>
              <w:t>1590/451/451</w:t>
            </w:r>
          </w:p>
        </w:tc>
        <w:tc>
          <w:tcPr>
            <w:tcW w:w="1000" w:type="dxa"/>
            <w:tcBorders>
              <w:top w:val="nil"/>
              <w:left w:val="nil"/>
              <w:bottom w:val="nil"/>
              <w:right w:val="nil"/>
            </w:tcBorders>
            <w:tcMar>
              <w:top w:w="55" w:type="dxa"/>
              <w:left w:w="70" w:type="dxa"/>
              <w:bottom w:w="55" w:type="dxa"/>
              <w:right w:w="70" w:type="dxa"/>
            </w:tcMar>
            <w:vAlign w:val="center"/>
            <w:hideMark/>
          </w:tcPr>
          <w:p w14:paraId="256DDA9D" w14:textId="77777777" w:rsidR="00B14FA3" w:rsidRPr="00B14FA3" w:rsidRDefault="00B14FA3" w:rsidP="00B14FA3">
            <w:pPr>
              <w:keepNext/>
              <w:ind w:firstLine="0"/>
              <w:jc w:val="left"/>
            </w:pPr>
            <w:r>
              <w:rPr>
                <w:color w:val="000000"/>
                <w:szCs w:val="21"/>
              </w:rPr>
              <w:t>96/24</w:t>
            </w:r>
          </w:p>
        </w:tc>
      </w:tr>
    </w:tbl>
    <w:p w14:paraId="7F30E00E" w14:textId="77777777" w:rsidR="00B14FA3" w:rsidRPr="00B14FA3" w:rsidRDefault="00B14FA3" w:rsidP="00B14FA3">
      <w:r>
        <w:rPr>
          <w:color w:val="000000"/>
          <w:szCs w:val="21"/>
        </w:rPr>
        <w:t>所有对比模型使用相同的数据划分、输入长度、预测长度、评价指标和批量大小，batch size统一为16。实验不为各模型单独搜索最优超参数，而是在统一预测任务下控制数据与训练条件。DLinear、固定等权多尺度、全局可学习权重和本文方法最多训练30轮，LightTS最多训练50轮；均根据验证集MSE选择测试所用参数，测试集仅用于最终统计。</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r>
        <w:t>外部基线比较使用随机种子42～44共3个共同随机种子。核心消融使用随机种子42～49共8个共同随机种子，比较DLinear、固定等权多尺度、全局可学习权重和本文方法。全局权重由等权初始化，与三个专家一同训练，并按相同验证集准则选择模型；随机种子作为配对统计单位。</w:t>
      </w:r>
    </w:p>
    <w:p w14:paraId="111070D4"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2.2 </w:t>
      </w:r>
      <w:r>
        <w:rPr>
          <w:rFonts w:ascii="Arial" w:eastAsia="黑体" w:hAnsi="Arial"/>
          <w:b/>
          <w:bCs/>
          <w:color w:val="000000"/>
          <w:szCs w:val="21"/>
        </w:rPr>
        <w:t>对比模型与评价指标</w:t>
      </w:r>
    </w:p>
    <w:p w14:paraId="3EC5233F" w14:textId="77777777" w:rsidR="00B14FA3" w:rsidRPr="00B14FA3" w:rsidRDefault="00B14FA3" w:rsidP="00B14FA3">
      <w:r>
        <w:rPr>
          <w:color w:val="000000"/>
          <w:szCs w:val="21"/>
        </w:rPr>
        <w:t>实验设置DLinear、LightTS、固定等权多尺度和全局可学习权重四类对照。DLinear用于比较单一尺度与多尺度结构；LightTS提供独立轻量模型基线。后两种多尺度对照与本文方法保留相同的尺度集合{1,2,4}和DLinear专家：固定等权模型始终按1/3融合，全局权重模型学习一组对所有窗口共用的Softmax权重。由此，全局权重模型与本文方法的比较用于评估输入相关权重是否带来额外的预测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BE60480" w14:textId="77777777" w:rsidR="00B14FA3" w:rsidRPr="00B14FA3" w:rsidRDefault="00B14FA3" w:rsidP="00B14FA3">
      <w:r>
        <w:rPr>
          <w:color w:val="000000"/>
          <w:szCs w:val="21"/>
        </w:rPr>
        <w:t>预测性能采用均方误差（MSE）、平均绝对误差（MAE）和均方根误差（RMSE）评价。MSE按式（14）计算，MAE和RMSE分别定义为</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32476975"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MAE=</m:t>
        </m:r>
        <m:d>
          <m:dPr>
            <m:ctrlPr>
              <w:rPr>
                <w:rFonts w:ascii="Cambria Math" w:eastAsia="Cambria Math" w:hAnsi="Cambria Math"/>
                <w:i/>
                <w:kern w:val="0"/>
                <w:szCs w:val="20"/>
              </w:rPr>
            </m:ctrlPr>
          </m:dPr>
          <m:e>
            <m:f>
              <m:fPr>
                <m:ctrlPr>
                  <w:rPr>
                    <w:rFonts w:ascii="Cambria Math" w:eastAsia="Cambria Math" w:hAnsi="Cambria Math"/>
                    <w:i/>
                    <w:kern w:val="0"/>
                    <w:szCs w:val="20"/>
                  </w:rPr>
                </m:ctrlPr>
              </m:fPr>
              <m:num>
                <m:r>
                  <w:rPr>
                    <w:rFonts w:ascii="Cambria Math" w:eastAsia="Cambria Math" w:hAnsi="Cambria Math"/>
                    <w:kern w:val="0"/>
                    <w:szCs w:val="20"/>
                  </w:rPr>
                  <m:t>1</m:t>
                </m:r>
              </m:num>
              <m:den>
                <m:sSub>
                  <m:sSubPr>
                    <m:ctrlPr>
                      <w:rPr>
                        <w:rFonts w:ascii="Cambria Math" w:eastAsia="Cambria Math" w:hAnsi="Cambria Math"/>
                        <w:i/>
                        <w:kern w:val="0"/>
                        <w:szCs w:val="20"/>
                      </w:rPr>
                    </m:ctrlPr>
                  </m:sSubPr>
                  <m:e>
                    <m:r>
                      <w:rPr>
                        <w:rFonts w:ascii="Cambria Math" w:eastAsia="Cambria Math" w:hAnsi="Cambria Math"/>
                        <w:kern w:val="0"/>
                        <w:szCs w:val="20"/>
                      </w:rPr>
                      <m:t>N</m:t>
                    </m:r>
                  </m:e>
                  <m:sub>
                    <m:d>
                      <m:dPr>
                        <m:begChr m:val="{"/>
                        <m:endChr m:val="}"/>
                        <m:ctrlPr>
                          <w:rPr>
                            <w:rFonts w:ascii="Cambria Math" w:eastAsia="Cambria Math" w:hAnsi="Cambria Math"/>
                            <w:i/>
                            <w:kern w:val="0"/>
                            <w:szCs w:val="20"/>
                          </w:rPr>
                        </m:ctrlPr>
                      </m:dPr>
                      <m:e>
                        <m:r>
                          <m:rPr>
                            <m:sty m:val="p"/>
                          </m:rPr>
                          <w:rPr>
                            <w:rFonts w:ascii="Cambria Math" w:eastAsia="Cambria Math" w:hAnsi="Cambria Math"/>
                            <w:kern w:val="0"/>
                            <w:szCs w:val="20"/>
                          </w:rPr>
                          <m:t>te</m:t>
                        </m:r>
                      </m:e>
                    </m:d>
                    <m:r>
                      <w:rPr>
                        <w:rFonts w:ascii="Cambria Math" w:eastAsia="Cambria Math" w:hAnsi="Cambria Math"/>
                        <w:kern w:val="0"/>
                        <w:szCs w:val="20"/>
                      </w:rPr>
                      <m:t>HC</m:t>
                    </m:r>
                  </m:sub>
                </m:sSub>
              </m:den>
            </m:f>
          </m:e>
        </m:d>
        <m:sSub>
          <m:sSubPr>
            <m:ctrlPr>
              <w:rPr>
                <w:rFonts w:ascii="Cambria Math" w:eastAsia="Cambria Math" w:hAnsi="Cambria Math"/>
                <w:i/>
                <w:kern w:val="0"/>
                <w:szCs w:val="20"/>
              </w:rPr>
            </m:ctrlPr>
          </m:sSubPr>
          <m:e>
            <m:r>
              <w:rPr>
                <w:rFonts w:ascii="Cambria Math" w:eastAsia="Cambria Math" w:hAnsi="Cambria Math"/>
                <w:kern w:val="0"/>
                <w:szCs w:val="20"/>
              </w:rPr>
              <m:t>Σ</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d>
              <m:dPr>
                <m:begChr m:val="|"/>
                <m:endChr m:val="|"/>
                <m:ctrlPr>
                  <w:rPr>
                    <w:rFonts w:ascii="Cambria Math" w:eastAsia="Cambria Math" w:hAnsi="Cambria Math"/>
                    <w:i/>
                    <w:kern w:val="0"/>
                    <w:szCs w:val="20"/>
                  </w:rPr>
                </m:ctrlPr>
              </m:dPr>
              <m:e>
                <m:sSub>
                  <m:sSubPr>
                    <m:ctrlPr>
                      <w:rPr>
                        <w:rFonts w:ascii="Cambria Math" w:eastAsia="Cambria Math" w:hAnsi="Cambria Math"/>
                        <w:i/>
                        <w:kern w:val="0"/>
                        <w:szCs w:val="20"/>
                      </w:rPr>
                    </m:ctrlPr>
                  </m:sSubPr>
                  <m:e>
                    <m:r>
                      <m:rPr>
                        <m:sty m:val="bi"/>
                      </m:rPr>
                      <w:rPr>
                        <w:rFonts w:ascii="Cambria Math" w:eastAsia="Cambria Math" w:hAnsi="Cambria Math"/>
                        <w:kern w:val="0"/>
                        <w:szCs w:val="20"/>
                      </w:rPr>
                      <m:t>Y</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r>
                  <w:rPr>
                    <w:rFonts w:ascii="Cambria Math" w:eastAsia="Cambria Math" w:hAnsi="Cambria Math"/>
                    <w:kern w:val="0"/>
                    <w:szCs w:val="20"/>
                  </w:rPr>
                  <m:t>-</m:t>
                </m:r>
                <m:sSub>
                  <m:sSubPr>
                    <m:ctrlPr>
                      <w:rPr>
                        <w:rFonts w:ascii="Cambria Math" w:eastAsia="Cambria Math" w:hAnsi="Cambria Math"/>
                        <w:i/>
                        <w:kern w:val="0"/>
                        <w:szCs w:val="20"/>
                      </w:rPr>
                    </m:ctrlPr>
                  </m:sSubPr>
                  <m:e>
                    <m:r>
                      <m:rPr>
                        <m:sty m:val="bi"/>
                      </m:rPr>
                      <w:rPr>
                        <w:rFonts w:ascii="Cambria Math" w:eastAsia="Cambria Math" w:hAnsi="Cambria Math"/>
                        <w:kern w:val="0"/>
                        <w:szCs w:val="20"/>
                      </w:rPr>
                      <m:t>Ŷ</m:t>
                    </m:r>
                  </m:e>
                  <m:sub>
                    <m:d>
                      <m:dPr>
                        <m:begChr m:val="{"/>
                        <m:endChr m:val="}"/>
                        <m:ctrlPr>
                          <w:rPr>
                            <w:rFonts w:ascii="Cambria Math" w:eastAsia="Cambria Math" w:hAnsi="Cambria Math"/>
                            <w:i/>
                            <w:kern w:val="0"/>
                            <w:szCs w:val="20"/>
                          </w:rPr>
                        </m:ctrlPr>
                      </m:dPr>
                      <m:e>
                        <m:r>
                          <w:rPr>
                            <w:rFonts w:ascii="Cambria Math" w:eastAsia="Cambria Math" w:hAnsi="Cambria Math"/>
                            <w:kern w:val="0"/>
                            <w:szCs w:val="20"/>
                          </w:rPr>
                          <m:t>n,h,c</m:t>
                        </m:r>
                      </m:e>
                    </m:d>
                  </m:sub>
                </m:sSub>
              </m:e>
            </m:d>
          </m:sub>
        </m:sSub>
        <m:r>
          <w:rPr>
            <w:rFonts w:ascii="Cambria Math" w:eastAsia="Cambria Math" w:hAnsi="Cambria Math"/>
            <w:kern w:val="0"/>
            <w:szCs w:val="20"/>
          </w:rPr>
          <m:t>,</m:t>
        </m:r>
      </m:oMath>
      <w:r w:rsidRPr="00B14FA3">
        <w:rPr>
          <w:color w:val="000000"/>
          <w:kern w:val="0"/>
          <w:szCs w:val="20"/>
        </w:rPr>
        <w:tab/>
        <w:t>(15)</w:t>
      </w:r>
    </w:p>
    <w:p w14:paraId="78A587DD" w14:textId="77777777" w:rsidR="00B14FA3" w:rsidRPr="00B14FA3" w:rsidRDefault="00B14FA3" w:rsidP="00B14FA3">
      <w:pPr>
        <w:keepLines/>
        <w:widowControl/>
        <w:tabs>
          <w:tab w:val="center" w:pos="4819"/>
          <w:tab w:val="right" w:pos="9524"/>
        </w:tabs>
        <w:spacing w:before="40" w:after="40"/>
        <w:ind w:firstLine="0"/>
        <w:jc w:val="left"/>
        <w:rPr>
          <w:rFonts w:ascii="Cambria Math" w:eastAsia="Cambria Math" w:hAnsi="Cambria Math"/>
          <w:kern w:val="0"/>
          <w:szCs w:val="20"/>
        </w:rPr>
      </w:pPr>
      <w:r w:rsidRPr="00B14FA3">
        <w:rPr>
          <w:color w:val="000000"/>
          <w:kern w:val="0"/>
          <w:szCs w:val="20"/>
        </w:rPr>
        <w:tab/>
      </w:r>
      <m:oMath>
        <m:r>
          <m:rPr>
            <m:sty m:val="p"/>
          </m:rPr>
          <w:rPr>
            <w:rFonts w:ascii="Cambria Math" w:eastAsia="Cambria Math" w:hAnsi="Cambria Math"/>
            <w:kern w:val="0"/>
            <w:szCs w:val="20"/>
          </w:rPr>
          <m:t>RMSE=</m:t>
        </m:r>
        <m:rad>
          <m:radPr>
            <m:degHide m:val="1"/>
            <m:ctrlPr>
              <w:rPr>
                <w:rFonts w:ascii="Cambria Math" w:eastAsia="Cambria Math" w:hAnsi="Cambria Math"/>
                <w:i/>
                <w:kern w:val="0"/>
                <w:szCs w:val="20"/>
              </w:rPr>
            </m:ctrlPr>
          </m:radPr>
          <m:deg/>
          <m:e>
            <m:r>
              <m:rPr>
                <m:sty m:val="p"/>
              </m:rPr>
              <w:rPr>
                <w:rFonts w:ascii="Cambria Math" w:eastAsia="Cambria Math" w:hAnsi="Cambria Math"/>
                <w:kern w:val="0"/>
                <w:szCs w:val="20"/>
              </w:rPr>
              <m:t>MSE</m:t>
            </m:r>
          </m:e>
        </m:rad>
        <m:r>
          <w:rPr>
            <w:rFonts w:ascii="Cambria Math" w:eastAsia="Cambria Math" w:hAnsi="Cambria Math"/>
            <w:kern w:val="0"/>
            <w:szCs w:val="20"/>
          </w:rPr>
          <m:t>.</m:t>
        </m:r>
      </m:oMath>
      <w:r w:rsidRPr="00B14FA3">
        <w:rPr>
          <w:color w:val="000000"/>
          <w:kern w:val="0"/>
          <w:szCs w:val="20"/>
        </w:rPr>
        <w:tab/>
        <w:t>(16)</w:t>
      </w:r>
    </w:p>
    <w:p w14:paraId="015A2BBD" w14:textId="77777777" w:rsidR="00B14FA3" w:rsidRPr="00B14FA3" w:rsidRDefault="00B14FA3" w:rsidP="00B14FA3">
      <w:r>
        <w:rPr>
          <w:color w:val="000000"/>
          <w:szCs w:val="21"/>
        </w:rPr>
        <w:t>MSE、MAE和RMSE均在标准化空间中计算，数值越小表示预测误差越低。MSE对较大误差更敏感，MAE反映绝对误差的平均水平，RMSE是MSE开方后的结果，用于补充呈现误差幅值。正文以MSE和MAE作为主要比较指标。表2统计随机种子42～44的均值±标准差，表3统计随机种子42～49的均值±标准差，同时给出平均水平和重复实验间的波动。文中相对改进率均先按共同随机种子逐一计算，再取种子平均；因此不直接用表中四舍五入后的均值计算百分比。</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B4CAE4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2.3 </w:t>
      </w:r>
      <w:r>
        <w:rPr>
          <w:rFonts w:ascii="Arial" w:eastAsia="黑体" w:hAnsi="Arial"/>
          <w:b/>
          <w:bCs/>
          <w:color w:val="000000"/>
          <w:szCs w:val="21"/>
        </w:rPr>
        <w:t>两数据集外部基线比较</w:t>
      </w:r>
    </w:p>
    <w:p w14:paraId="47C6B19C" w14:textId="77777777" w:rsidR="00B14FA3" w:rsidRPr="00B14FA3" w:rsidRDefault="00B14FA3" w:rsidP="00B14FA3">
      <w:r>
        <w:rPr>
          <w:color w:val="000000"/>
          <w:szCs w:val="21"/>
        </w:rPr>
        <w:t>表2列出3个共同随机种子下的总体基线结果。本文方法在Abilene上的MSE为0.186，在GÉANT上为0.434；逐种子计算后相对DLinear分别降低4.07%和4.54%，相对LightTS分别降低29.80%和46.89%，MAE呈相同方向变化。DLinear与本文尺度专家采用同源结构，后续核心消融继续以它作为单尺度内部基线；LightTS属于独立外部结构基线，图2进一步给出逐随机种子、多指标和参数规模比较。</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C988E8E" w14:textId="77777777" w:rsidR="00B14FA3" w:rsidRPr="00B14FA3" w:rsidRDefault="00B14FA3" w:rsidP="00B14FA3">
      <w:pPr>
        <w:keepNext/>
        <w:spacing w:before="60" w:after="40"/>
        <w:ind w:firstLine="0"/>
        <w:jc w:val="center"/>
      </w:pPr>
      <w:r>
        <w:rPr>
          <w:rFonts w:eastAsia="黑体"/>
          <w:b/>
          <w:color w:val="000000"/>
          <w:sz w:val="18"/>
        </w:rPr>
        <w:t>表</w:t>
      </w:r>
      <w:r>
        <w:rPr>
          <w:rFonts w:eastAsia="黑体"/>
          <w:b/>
          <w:color w:val="000000"/>
          <w:sz w:val="18"/>
        </w:rPr>
        <w:t xml:space="preserve">2 </w:t>
      </w:r>
      <w:r>
        <w:rPr>
          <w:rFonts w:eastAsia="黑体"/>
          <w:b/>
          <w:color w:val="000000"/>
          <w:sz w:val="18"/>
        </w:rPr>
        <w:t>三随机种子外部基线比较</w:t>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74CC92C2"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73A1B21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D3A8B74"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6A04AC4B"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0529A34"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0BF29862" w14:textId="77777777" w:rsidR="00B14FA3" w:rsidRPr="00B14FA3" w:rsidRDefault="00B14FA3" w:rsidP="00B14FA3">
            <w:pPr>
              <w:keepNext/>
              <w:ind w:firstLine="0"/>
              <w:jc w:val="center"/>
            </w:pPr>
            <w:r>
              <w:rPr>
                <w:b/>
                <w:color w:val="000000"/>
                <w:szCs w:val="21"/>
              </w:rPr>
              <w:t>MAE</w:t>
            </w:r>
          </w:p>
        </w:tc>
      </w:tr>
      <w:tr w:rsidR="00B10182" w14:paraId="7BD3F36B"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270E4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605C29C9"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4ABBFC5B"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28CCFDF6"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5B37841B" w14:textId="77777777" w:rsidR="00B14FA3" w:rsidRPr="00B14FA3" w:rsidRDefault="00B14FA3" w:rsidP="00B14FA3">
            <w:pPr>
              <w:keepNext/>
              <w:ind w:firstLine="0"/>
              <w:jc w:val="left"/>
            </w:pPr>
            <w:r>
              <w:rPr>
                <w:color w:val="000000"/>
                <w:szCs w:val="21"/>
              </w:rPr>
              <w:t>0.188±0.009</w:t>
            </w:r>
          </w:p>
        </w:tc>
      </w:tr>
      <w:tr w:rsidR="00B10182" w14:paraId="30BC0D5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D2E5A7E"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65248BF"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DBDB155" w14:textId="77777777" w:rsidR="00B14FA3" w:rsidRPr="00B14FA3" w:rsidRDefault="00B14FA3" w:rsidP="00B14FA3">
            <w:pPr>
              <w:keepNext/>
              <w:ind w:firstLine="0"/>
              <w:jc w:val="left"/>
            </w:pPr>
            <w:r>
              <w:rPr>
                <w:color w:val="000000"/>
                <w:szCs w:val="21"/>
              </w:rPr>
              <w:t>130162</w:t>
            </w:r>
          </w:p>
        </w:tc>
        <w:tc>
          <w:tcPr>
            <w:tcW w:w="2000" w:type="dxa"/>
            <w:tcBorders>
              <w:top w:val="nil"/>
              <w:left w:val="nil"/>
              <w:bottom w:val="nil"/>
              <w:right w:val="nil"/>
            </w:tcBorders>
            <w:tcMar>
              <w:top w:w="55" w:type="dxa"/>
              <w:left w:w="70" w:type="dxa"/>
              <w:bottom w:w="55" w:type="dxa"/>
              <w:right w:w="70" w:type="dxa"/>
            </w:tcMar>
            <w:vAlign w:val="center"/>
            <w:hideMark/>
          </w:tcPr>
          <w:p w14:paraId="514903F0" w14:textId="77777777" w:rsidR="00B14FA3" w:rsidRPr="00B14FA3" w:rsidRDefault="00B14FA3" w:rsidP="00B14FA3">
            <w:pPr>
              <w:keepNext/>
              <w:ind w:firstLine="0"/>
              <w:jc w:val="left"/>
            </w:pPr>
            <w:r>
              <w:rPr>
                <w:color w:val="000000"/>
                <w:szCs w:val="21"/>
              </w:rPr>
              <w:t>0.265±0.011</w:t>
            </w:r>
          </w:p>
        </w:tc>
        <w:tc>
          <w:tcPr>
            <w:tcW w:w="2000" w:type="dxa"/>
            <w:tcBorders>
              <w:top w:val="nil"/>
              <w:left w:val="nil"/>
              <w:bottom w:val="nil"/>
              <w:right w:val="nil"/>
            </w:tcBorders>
            <w:tcMar>
              <w:top w:w="55" w:type="dxa"/>
              <w:left w:w="70" w:type="dxa"/>
              <w:bottom w:w="55" w:type="dxa"/>
              <w:right w:w="70" w:type="dxa"/>
            </w:tcMar>
            <w:vAlign w:val="center"/>
            <w:hideMark/>
          </w:tcPr>
          <w:p w14:paraId="7928E3E7" w14:textId="77777777" w:rsidR="00B14FA3" w:rsidRPr="00B14FA3" w:rsidRDefault="00B14FA3" w:rsidP="00B14FA3">
            <w:pPr>
              <w:keepNext/>
              <w:ind w:firstLine="0"/>
              <w:jc w:val="left"/>
            </w:pPr>
            <w:r>
              <w:rPr>
                <w:color w:val="000000"/>
                <w:szCs w:val="21"/>
              </w:rPr>
              <w:t>0.204±0.008</w:t>
            </w:r>
          </w:p>
        </w:tc>
      </w:tr>
      <w:tr w:rsidR="00B10182" w14:paraId="346D7B1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9582576"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5A1E076"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2E2CB203"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03B5D7D6" w14:textId="77777777" w:rsidR="00B14FA3" w:rsidRPr="00B14FA3" w:rsidRDefault="00B14FA3" w:rsidP="00B14FA3">
            <w:pPr>
              <w:keepNext/>
              <w:ind w:firstLine="0"/>
              <w:jc w:val="left"/>
            </w:pPr>
            <w:r>
              <w:rPr>
                <w:color w:val="000000"/>
                <w:szCs w:val="21"/>
              </w:rPr>
              <w:t>0.186±0.002</w:t>
            </w:r>
          </w:p>
        </w:tc>
        <w:tc>
          <w:tcPr>
            <w:tcW w:w="2000" w:type="dxa"/>
            <w:tcBorders>
              <w:top w:val="nil"/>
              <w:left w:val="nil"/>
              <w:bottom w:val="nil"/>
              <w:right w:val="nil"/>
            </w:tcBorders>
            <w:tcMar>
              <w:top w:w="55" w:type="dxa"/>
              <w:left w:w="70" w:type="dxa"/>
              <w:bottom w:w="55" w:type="dxa"/>
              <w:right w:w="70" w:type="dxa"/>
            </w:tcMar>
            <w:vAlign w:val="center"/>
            <w:hideMark/>
          </w:tcPr>
          <w:p w14:paraId="7225EFCD" w14:textId="77777777" w:rsidR="00B14FA3" w:rsidRPr="00B14FA3" w:rsidRDefault="00B14FA3" w:rsidP="00B14FA3">
            <w:pPr>
              <w:keepNext/>
              <w:ind w:firstLine="0"/>
              <w:jc w:val="left"/>
            </w:pPr>
            <w:r>
              <w:rPr>
                <w:color w:val="000000"/>
                <w:szCs w:val="21"/>
              </w:rPr>
              <w:t>0.168±0.001</w:t>
            </w:r>
          </w:p>
        </w:tc>
      </w:tr>
      <w:tr w:rsidR="00B10182" w14:paraId="08C5DFD2"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718FA40"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4445469C"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30B2B4F3"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52D4A5CB" w14:textId="77777777" w:rsidR="00B14FA3" w:rsidRPr="00B14FA3" w:rsidRDefault="00B14FA3" w:rsidP="00B14FA3">
            <w:pPr>
              <w:keepNext/>
              <w:ind w:firstLine="0"/>
              <w:jc w:val="left"/>
            </w:pPr>
            <w:r>
              <w:rPr>
                <w:color w:val="000000"/>
                <w:szCs w:val="21"/>
              </w:rPr>
              <w:t>0.454±0.007</w:t>
            </w:r>
          </w:p>
        </w:tc>
        <w:tc>
          <w:tcPr>
            <w:tcW w:w="2000" w:type="dxa"/>
            <w:tcBorders>
              <w:top w:val="nil"/>
              <w:left w:val="nil"/>
              <w:bottom w:val="nil"/>
              <w:right w:val="nil"/>
            </w:tcBorders>
            <w:tcMar>
              <w:top w:w="55" w:type="dxa"/>
              <w:left w:w="70" w:type="dxa"/>
              <w:bottom w:w="55" w:type="dxa"/>
              <w:right w:w="70" w:type="dxa"/>
            </w:tcMar>
            <w:vAlign w:val="center"/>
            <w:hideMark/>
          </w:tcPr>
          <w:p w14:paraId="42E93C94" w14:textId="77777777" w:rsidR="00B14FA3" w:rsidRPr="00B14FA3" w:rsidRDefault="00B14FA3" w:rsidP="00B14FA3">
            <w:pPr>
              <w:keepNext/>
              <w:ind w:firstLine="0"/>
              <w:jc w:val="left"/>
            </w:pPr>
            <w:r>
              <w:rPr>
                <w:color w:val="000000"/>
                <w:szCs w:val="21"/>
              </w:rPr>
              <w:t>0.383±0.006</w:t>
            </w:r>
          </w:p>
        </w:tc>
      </w:tr>
      <w:tr w:rsidR="00B10182" w14:paraId="14CFFB90"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2A283DE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64DB8CC0" w14:textId="77777777" w:rsidR="00B14FA3" w:rsidRPr="00B14FA3" w:rsidRDefault="00B14FA3" w:rsidP="00B14FA3">
            <w:pPr>
              <w:keepNext/>
              <w:ind w:firstLine="0"/>
              <w:jc w:val="left"/>
            </w:pPr>
            <w:r>
              <w:rPr>
                <w:color w:val="000000"/>
                <w:szCs w:val="21"/>
              </w:rPr>
              <w:t>LightTS</w:t>
            </w:r>
          </w:p>
        </w:tc>
        <w:tc>
          <w:tcPr>
            <w:tcW w:w="1200" w:type="dxa"/>
            <w:tcBorders>
              <w:top w:val="nil"/>
              <w:left w:val="nil"/>
              <w:bottom w:val="nil"/>
              <w:right w:val="nil"/>
            </w:tcBorders>
            <w:tcMar>
              <w:top w:w="55" w:type="dxa"/>
              <w:left w:w="70" w:type="dxa"/>
              <w:bottom w:w="55" w:type="dxa"/>
              <w:right w:w="70" w:type="dxa"/>
            </w:tcMar>
            <w:vAlign w:val="center"/>
            <w:hideMark/>
          </w:tcPr>
          <w:p w14:paraId="55B386AD" w14:textId="77777777" w:rsidR="00B14FA3" w:rsidRPr="00B14FA3" w:rsidRDefault="00B14FA3" w:rsidP="00B14FA3">
            <w:pPr>
              <w:keepNext/>
              <w:ind w:firstLine="0"/>
              <w:jc w:val="left"/>
            </w:pPr>
            <w:r>
              <w:rPr>
                <w:color w:val="000000"/>
                <w:szCs w:val="21"/>
              </w:rPr>
              <w:t>384382</w:t>
            </w:r>
          </w:p>
        </w:tc>
        <w:tc>
          <w:tcPr>
            <w:tcW w:w="2000" w:type="dxa"/>
            <w:tcBorders>
              <w:top w:val="nil"/>
              <w:left w:val="nil"/>
              <w:bottom w:val="nil"/>
              <w:right w:val="nil"/>
            </w:tcBorders>
            <w:tcMar>
              <w:top w:w="55" w:type="dxa"/>
              <w:left w:w="70" w:type="dxa"/>
              <w:bottom w:w="55" w:type="dxa"/>
              <w:right w:w="70" w:type="dxa"/>
            </w:tcMar>
            <w:vAlign w:val="center"/>
            <w:hideMark/>
          </w:tcPr>
          <w:p w14:paraId="63428E63" w14:textId="77777777" w:rsidR="00B14FA3" w:rsidRPr="00B14FA3" w:rsidRDefault="00B14FA3" w:rsidP="00B14FA3">
            <w:pPr>
              <w:keepNext/>
              <w:ind w:firstLine="0"/>
              <w:jc w:val="left"/>
            </w:pPr>
            <w:r>
              <w:rPr>
                <w:color w:val="000000"/>
                <w:szCs w:val="21"/>
              </w:rPr>
              <w:t>0.817±0.024</w:t>
            </w:r>
          </w:p>
        </w:tc>
        <w:tc>
          <w:tcPr>
            <w:tcW w:w="2000" w:type="dxa"/>
            <w:tcBorders>
              <w:top w:val="nil"/>
              <w:left w:val="nil"/>
              <w:bottom w:val="nil"/>
              <w:right w:val="nil"/>
            </w:tcBorders>
            <w:tcMar>
              <w:top w:w="55" w:type="dxa"/>
              <w:left w:w="70" w:type="dxa"/>
              <w:bottom w:w="55" w:type="dxa"/>
              <w:right w:w="70" w:type="dxa"/>
            </w:tcMar>
            <w:vAlign w:val="center"/>
            <w:hideMark/>
          </w:tcPr>
          <w:p w14:paraId="0B5D4941" w14:textId="77777777" w:rsidR="00B14FA3" w:rsidRPr="00B14FA3" w:rsidRDefault="00B14FA3" w:rsidP="00B14FA3">
            <w:pPr>
              <w:keepNext/>
              <w:ind w:firstLine="0"/>
              <w:jc w:val="left"/>
            </w:pPr>
            <w:r>
              <w:rPr>
                <w:color w:val="000000"/>
                <w:szCs w:val="21"/>
              </w:rPr>
              <w:t>0.523±0.014</w:t>
            </w:r>
          </w:p>
        </w:tc>
      </w:tr>
      <w:tr w:rsidR="00B10182" w14:paraId="72F28BC4"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09F27897"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3608F1F4"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1036E0DB"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45CE26A" w14:textId="77777777" w:rsidR="00B14FA3" w:rsidRPr="00B14FA3" w:rsidRDefault="00B14FA3" w:rsidP="00B14FA3">
            <w:pPr>
              <w:keepNext/>
              <w:ind w:firstLine="0"/>
              <w:jc w:val="left"/>
            </w:pPr>
            <w:r>
              <w:rPr>
                <w:color w:val="000000"/>
                <w:szCs w:val="21"/>
              </w:rPr>
              <w:t>0.434±0.051</w:t>
            </w:r>
          </w:p>
        </w:tc>
        <w:tc>
          <w:tcPr>
            <w:tcW w:w="2000" w:type="dxa"/>
            <w:tcBorders>
              <w:top w:val="nil"/>
              <w:left w:val="nil"/>
              <w:bottom w:val="nil"/>
              <w:right w:val="nil"/>
            </w:tcBorders>
            <w:tcMar>
              <w:top w:w="55" w:type="dxa"/>
              <w:left w:w="70" w:type="dxa"/>
              <w:bottom w:w="55" w:type="dxa"/>
              <w:right w:w="70" w:type="dxa"/>
            </w:tcMar>
            <w:vAlign w:val="center"/>
            <w:hideMark/>
          </w:tcPr>
          <w:p w14:paraId="1A66C078" w14:textId="77777777" w:rsidR="00B14FA3" w:rsidRPr="00B14FA3" w:rsidRDefault="00B14FA3" w:rsidP="00B14FA3">
            <w:pPr>
              <w:keepNext/>
              <w:ind w:firstLine="0"/>
              <w:jc w:val="left"/>
            </w:pPr>
            <w:r>
              <w:rPr>
                <w:color w:val="000000"/>
                <w:szCs w:val="21"/>
              </w:rPr>
              <w:t>0.370±0.031</w:t>
            </w:r>
          </w:p>
        </w:tc>
      </w:tr>
    </w:tbl>
    <w:p w14:paraId="5DE8C5AD" w14:textId="77777777" w:rsidR="00B14FA3" w:rsidRPr="00B14FA3" w:rsidRDefault="00B14FA3" w:rsidP="00B14FA3">
      <w:r>
        <w:rPr>
          <w:color w:val="000000"/>
          <w:szCs w:val="21"/>
        </w:rPr>
        <w:t>图2聚焦独立外部基线LightTS，并使用两种方法共同具备的随机种子42～44。按（LightTS误差−本文方法误差）/LightTS误差计算每次实验的相对降低率后，Abilene上的MSE、MAE和RMSE平均降低29.80%、17.57%和16.23%，GÉANT上分别降低46.89%、29.15%和27.18%。两个数据集的3个共同随机种子在三项指标上均为正向降低。参数量方面，本文方法为8339，LightTS在Abilene和GÉANT上分别为130162和384382，本文方法约为其6.41%和2.17%。图2因此只承担外部结构基线比较，DLinear和固定等权模型的内部比较放在表3和图3中。</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jc w:val="center"/>
        <w:keepNext/>
      </w:pPr>
      <w:r>
        <w:drawing>
          <wp:inline xmlns:a="http://schemas.openxmlformats.org/drawingml/2006/main" xmlns:pic="http://schemas.openxmlformats.org/drawingml/2006/picture">
            <wp:extent cx="5715000" cy="2612771"/>
            <wp:docPr id="25" name="Picture 25"/>
            <wp:cNvGraphicFramePr>
              <a:graphicFrameLocks noChangeAspect="1"/>
            </wp:cNvGraphicFramePr>
            <a:graphic>
              <a:graphicData uri="http://schemas.openxmlformats.org/drawingml/2006/picture">
                <pic:pic>
                  <pic:nvPicPr>
                    <pic:cNvPr id="0" name="fig3_lightts_improvement_heatstrip.png"/>
                    <pic:cNvPicPr/>
                  </pic:nvPicPr>
                  <pic:blipFill>
                    <a:blip r:embed="rId19"/>
                    <a:stretch>
                      <a:fillRect/>
                    </a:stretch>
                  </pic:blipFill>
                  <pic:spPr>
                    <a:xfrm>
                      <a:off x="0" y="0"/>
                      <a:ext cx="5715000" cy="26127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图2 Abilene与GÉANT上本文方法相对LightTS的三随机种子多指标性能提升</w:t>
      </w:r>
    </w:p>
    <w:p>
      <w:pPr/>
      <w:r>
        <w:t>两个数据集上的相对降幅并不相同。GÉANT包含的OD变量数高于Abilene，同时本文方法相对LightTS的MSE降幅也更大，但现有实验不能把这种差异直接归因于变量规模。固定等权与全局可学习权重对照均采用相同的多尺度专家结构，适合进一步检验融合方式本身的作用。</w:t>
      </w:r>
    </w:p>
    <w:p w14:paraId="45F47835"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 xml:space="preserve">2.4 </w:t>
      </w:r>
      <w:r>
        <w:rPr>
          <w:rFonts w:ascii="Arial" w:eastAsia="黑体" w:hAnsi="Arial"/>
          <w:b/>
          <w:bCs/>
          <w:color w:val="000000"/>
          <w:szCs w:val="21"/>
        </w:rPr>
        <w:t>八随机种子核心消融与稳定性</w:t>
      </w:r>
    </w:p>
    <w:p w14:paraId="4EB4547B" w14:textId="77777777" w:rsidR="00B14FA3" w:rsidRPr="00B14FA3" w:rsidRDefault="00B14FA3" w:rsidP="00B14FA3">
      <w:r>
        <w:rPr>
          <w:color w:val="000000"/>
          <w:szCs w:val="21"/>
        </w:rPr>
        <w:t>表3中的核心消融覆盖随机种子42～49，共重复8次。相对单尺度DLinear，本文方法在Abilene和GÉANT上的MSE的逐种子平均改进率分别为2.77%和2.35%；相对固定等权模型，MSE的逐种子平均改进率分别为1.65%和4.54%。新增的全局可学习权重模型允许尺度权重不等，但对全部窗口保持恒定。与该模型逐种子配对比较，本文方法的平均MSE改进率分别为1.80%和4.31%，分别在6/8和7/8个种子上胜出；t分布近似的95%置信区间分别为[0.01%,3.58%]和[−2.51%,11.13%]。Abilene优势较小，GÉANT区间跨越零，不能据此断言跨初始化稳定优于全局权重。</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719DA9B" w14:textId="77777777" w:rsidR="00B14FA3" w:rsidRPr="00B14FA3" w:rsidRDefault="00B14FA3" w:rsidP="00B14FA3">
      <w:pPr>
        <w:keepNext/>
        <w:spacing w:before="60" w:after="40"/>
        <w:ind w:firstLine="0"/>
        <w:jc w:val="center"/>
      </w:pPr>
      <w:r>
        <w:rPr>
          <w:rFonts w:eastAsia="黑体"/>
          <w:b/>
          <w:color w:val="000000"/>
          <w:sz w:val="18"/>
        </w:rPr>
        <w:t>表3 八随机种子核心消融结果（均值±标准差）</w:t>
      </w:r>
      <w:r>
        <w:rPr>
          <w:rFonts w:eastAsia="黑体"/>
          <w:b/>
          <w:color w:val="000000"/>
          <w:sz w:val="18"/>
        </w:rPr>
      </w:r>
      <w:r>
        <w:rPr>
          <w:rFonts w:eastAsia="黑体"/>
          <w:b/>
          <w:color w:val="000000"/>
          <w:sz w:val="18"/>
        </w:rPr>
      </w:r>
    </w:p>
    <w:tbl>
      <w:tblPr>
        <w:tblW w:w="0" w:type="auto"/>
        <w:jc w:val="center"/>
        <w:tblBorders>
          <w:top w:val="single" w:sz="8" w:space="0" w:color="000000"/>
          <w:left w:val="nil"/>
          <w:bottom w:val="single" w:sz="8" w:space="0" w:color="000000"/>
          <w:right w:val="nil"/>
          <w:insideH w:val="nil"/>
          <w:insideV w:val="nil"/>
        </w:tblBorders>
        <w:tblLayout w:type="fixed"/>
        <w:tblLook w:val="04A0" w:firstRow="1" w:lastRow="0" w:firstColumn="1" w:lastColumn="0" w:noHBand="0" w:noVBand="1"/>
      </w:tblPr>
      <w:tblGrid>
        <w:gridCol w:w="1300"/>
        <w:gridCol w:w="2500"/>
        <w:gridCol w:w="1200"/>
        <w:gridCol w:w="2000"/>
        <w:gridCol w:w="2000"/>
      </w:tblGrid>
      <w:tr w:rsidR="00B10182" w14:paraId="3DA1AD1C" w14:textId="77777777">
        <w:trPr>
          <w:cantSplit/>
          <w:tblHeader/>
          <w:jc w:val="center"/>
        </w:trPr>
        <w:tc>
          <w:tcPr>
            <w:tcW w:w="1300" w:type="dxa"/>
            <w:tcBorders>
              <w:bottom w:val="single" w:sz="8" w:space="0" w:color="000000"/>
            </w:tcBorders>
            <w:tcMar>
              <w:top w:w="55" w:type="dxa"/>
              <w:left w:w="70" w:type="dxa"/>
              <w:bottom w:w="55" w:type="dxa"/>
              <w:right w:w="70" w:type="dxa"/>
            </w:tcMar>
            <w:vAlign w:val="center"/>
            <w:hideMark/>
          </w:tcPr>
          <w:p w14:paraId="35E46A0A" w14:textId="77777777" w:rsidR="00B14FA3" w:rsidRPr="00B14FA3" w:rsidRDefault="00B14FA3" w:rsidP="00B14FA3">
            <w:pPr>
              <w:keepNext/>
              <w:ind w:firstLine="0"/>
              <w:jc w:val="center"/>
            </w:pPr>
            <w:r>
              <w:rPr>
                <w:b/>
                <w:color w:val="000000"/>
                <w:szCs w:val="21"/>
              </w:rPr>
              <w:t>数据集</w:t>
            </w:r>
          </w:p>
        </w:tc>
        <w:tc>
          <w:tcPr>
            <w:tcW w:w="2500" w:type="dxa"/>
            <w:tcBorders>
              <w:bottom w:val="single" w:sz="8" w:space="0" w:color="000000"/>
            </w:tcBorders>
            <w:tcMar>
              <w:top w:w="55" w:type="dxa"/>
              <w:left w:w="70" w:type="dxa"/>
              <w:bottom w:w="55" w:type="dxa"/>
              <w:right w:w="70" w:type="dxa"/>
            </w:tcMar>
            <w:vAlign w:val="center"/>
            <w:hideMark/>
          </w:tcPr>
          <w:p w14:paraId="16C4D3AF" w14:textId="77777777" w:rsidR="00B14FA3" w:rsidRPr="00B14FA3" w:rsidRDefault="00B14FA3" w:rsidP="00B14FA3">
            <w:pPr>
              <w:keepNext/>
              <w:ind w:firstLine="0"/>
              <w:jc w:val="center"/>
            </w:pPr>
            <w:r>
              <w:rPr>
                <w:b/>
                <w:color w:val="000000"/>
                <w:szCs w:val="21"/>
              </w:rPr>
              <w:t>模型</w:t>
            </w:r>
          </w:p>
        </w:tc>
        <w:tc>
          <w:tcPr>
            <w:tcW w:w="1200" w:type="dxa"/>
            <w:tcBorders>
              <w:bottom w:val="single" w:sz="8" w:space="0" w:color="000000"/>
            </w:tcBorders>
            <w:tcMar>
              <w:top w:w="55" w:type="dxa"/>
              <w:left w:w="70" w:type="dxa"/>
              <w:bottom w:w="55" w:type="dxa"/>
              <w:right w:w="70" w:type="dxa"/>
            </w:tcMar>
            <w:vAlign w:val="center"/>
            <w:hideMark/>
          </w:tcPr>
          <w:p w14:paraId="17F99015" w14:textId="77777777" w:rsidR="00B14FA3" w:rsidRPr="00B14FA3" w:rsidRDefault="00B14FA3" w:rsidP="00B14FA3">
            <w:pPr>
              <w:keepNext/>
              <w:ind w:firstLine="0"/>
              <w:jc w:val="center"/>
            </w:pPr>
            <w:r>
              <w:rPr>
                <w:b/>
                <w:color w:val="000000"/>
                <w:szCs w:val="21"/>
              </w:rPr>
              <w:t>参数量</w:t>
            </w:r>
          </w:p>
        </w:tc>
        <w:tc>
          <w:tcPr>
            <w:tcW w:w="2000" w:type="dxa"/>
            <w:tcBorders>
              <w:bottom w:val="single" w:sz="8" w:space="0" w:color="000000"/>
            </w:tcBorders>
            <w:tcMar>
              <w:top w:w="55" w:type="dxa"/>
              <w:left w:w="70" w:type="dxa"/>
              <w:bottom w:w="55" w:type="dxa"/>
              <w:right w:w="70" w:type="dxa"/>
            </w:tcMar>
            <w:vAlign w:val="center"/>
            <w:hideMark/>
          </w:tcPr>
          <w:p w14:paraId="5C192F3F" w14:textId="77777777" w:rsidR="00B14FA3" w:rsidRPr="00B14FA3" w:rsidRDefault="00B14FA3" w:rsidP="00B14FA3">
            <w:pPr>
              <w:keepNext/>
              <w:ind w:firstLine="0"/>
              <w:jc w:val="center"/>
            </w:pPr>
            <w:r>
              <w:rPr>
                <w:b/>
                <w:color w:val="000000"/>
                <w:szCs w:val="21"/>
              </w:rPr>
              <w:t>MSE</w:t>
            </w:r>
          </w:p>
        </w:tc>
        <w:tc>
          <w:tcPr>
            <w:tcW w:w="2000" w:type="dxa"/>
            <w:tcBorders>
              <w:bottom w:val="single" w:sz="8" w:space="0" w:color="000000"/>
            </w:tcBorders>
            <w:tcMar>
              <w:top w:w="55" w:type="dxa"/>
              <w:left w:w="70" w:type="dxa"/>
              <w:bottom w:w="55" w:type="dxa"/>
              <w:right w:w="70" w:type="dxa"/>
            </w:tcMar>
            <w:vAlign w:val="center"/>
            <w:hideMark/>
          </w:tcPr>
          <w:p w14:paraId="4D3677E0" w14:textId="77777777" w:rsidR="00B14FA3" w:rsidRPr="00B14FA3" w:rsidRDefault="00B14FA3" w:rsidP="00B14FA3">
            <w:pPr>
              <w:keepNext/>
              <w:ind w:firstLine="0"/>
              <w:jc w:val="center"/>
            </w:pPr>
            <w:r>
              <w:rPr>
                <w:b/>
                <w:color w:val="000000"/>
                <w:szCs w:val="21"/>
              </w:rPr>
              <w:t>MAE</w:t>
            </w:r>
          </w:p>
        </w:tc>
      </w:tr>
      <w:tr w:rsidR="00B10182" w14:paraId="74FD5207"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7E7AD1C0"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48CDB700"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16F24568"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675D686B" w14:textId="77777777" w:rsidR="00B14FA3" w:rsidRPr="00B14FA3" w:rsidRDefault="00B14FA3" w:rsidP="00B14FA3">
            <w:pPr>
              <w:keepNext/>
              <w:ind w:firstLine="0"/>
              <w:jc w:val="left"/>
            </w:pPr>
            <w:r>
              <w:rPr>
                <w:color w:val="000000"/>
                <w:szCs w:val="21"/>
              </w:rPr>
              <w:t>0.194±0.002</w:t>
            </w:r>
          </w:p>
        </w:tc>
        <w:tc>
          <w:tcPr>
            <w:tcW w:w="2000" w:type="dxa"/>
            <w:tcBorders>
              <w:top w:val="nil"/>
              <w:left w:val="nil"/>
              <w:bottom w:val="nil"/>
              <w:right w:val="nil"/>
            </w:tcBorders>
            <w:tcMar>
              <w:top w:w="55" w:type="dxa"/>
              <w:left w:w="70" w:type="dxa"/>
              <w:bottom w:w="55" w:type="dxa"/>
              <w:right w:w="70" w:type="dxa"/>
            </w:tcMar>
            <w:vAlign w:val="center"/>
            <w:hideMark/>
          </w:tcPr>
          <w:p w14:paraId="057BAF36" w14:textId="77777777" w:rsidR="00B14FA3" w:rsidRPr="00B14FA3" w:rsidRDefault="00B14FA3" w:rsidP="00B14FA3">
            <w:pPr>
              <w:keepNext/>
              <w:ind w:firstLine="0"/>
              <w:jc w:val="left"/>
            </w:pPr>
            <w:r>
              <w:rPr>
                <w:color w:val="000000"/>
                <w:szCs w:val="21"/>
              </w:rPr>
              <w:t>0.189±0.008</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0.191±0.006</w:t>
            </w:r>
          </w:p>
        </w:tc>
      </w:tr>
      <w:tr w:rsidR="00B10182" w14:paraId="1610B71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540C537"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10DA8D66"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2B6F414C"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6628BFC6" w14:textId="77777777" w:rsidR="00B14FA3" w:rsidRPr="00B14FA3" w:rsidRDefault="00B14FA3" w:rsidP="00B14FA3">
            <w:pPr>
              <w:keepNext/>
              <w:ind w:firstLine="0"/>
              <w:jc w:val="left"/>
            </w:pPr>
            <w:r>
              <w:rPr>
                <w:color w:val="000000"/>
                <w:szCs w:val="21"/>
              </w:rPr>
              <w:t>0.192±0.002</w:t>
            </w:r>
          </w:p>
        </w:tc>
        <w:tc>
          <w:tcPr>
            <w:tcW w:w="2000" w:type="dxa"/>
            <w:tcBorders>
              <w:top w:val="nil"/>
              <w:left w:val="nil"/>
              <w:bottom w:val="nil"/>
              <w:right w:val="nil"/>
            </w:tcBorders>
            <w:tcMar>
              <w:top w:w="55" w:type="dxa"/>
              <w:left w:w="70" w:type="dxa"/>
              <w:bottom w:w="55" w:type="dxa"/>
              <w:right w:w="70" w:type="dxa"/>
            </w:tcMar>
            <w:vAlign w:val="center"/>
            <w:hideMark/>
          </w:tcPr>
          <w:p w14:paraId="4451ED7D" w14:textId="77777777" w:rsidR="00B14FA3" w:rsidRPr="00B14FA3" w:rsidRDefault="00B14FA3" w:rsidP="00B14FA3">
            <w:pPr>
              <w:keepNext/>
              <w:ind w:firstLine="0"/>
              <w:jc w:val="left"/>
            </w:pPr>
            <w:r>
              <w:rPr>
                <w:color w:val="000000"/>
                <w:szCs w:val="21"/>
              </w:rPr>
              <w:t>0.190±0.006</w:t>
            </w:r>
          </w:p>
        </w:tc>
      </w:tr>
      <w:tr w:rsidR="00B10182" w14:paraId="23DB7E9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A4CCFAA" w14:textId="77777777" w:rsidR="00B14FA3" w:rsidRPr="00B14FA3" w:rsidRDefault="00B14FA3" w:rsidP="00B14FA3">
            <w:pPr>
              <w:keepNext/>
              <w:ind w:firstLine="0"/>
              <w:jc w:val="left"/>
            </w:pPr>
            <w:r>
              <w:rPr>
                <w:color w:val="000000"/>
                <w:szCs w:val="21"/>
              </w:rPr>
              <w:t>Abilene</w:t>
            </w:r>
          </w:p>
        </w:tc>
        <w:tc>
          <w:tcPr>
            <w:tcW w:w="2500" w:type="dxa"/>
            <w:tcBorders>
              <w:top w:val="nil"/>
              <w:left w:val="nil"/>
              <w:bottom w:val="nil"/>
              <w:right w:val="nil"/>
            </w:tcBorders>
            <w:tcMar>
              <w:top w:w="55" w:type="dxa"/>
              <w:left w:w="70" w:type="dxa"/>
              <w:bottom w:w="55" w:type="dxa"/>
              <w:right w:w="70" w:type="dxa"/>
            </w:tcMar>
            <w:vAlign w:val="center"/>
            <w:hideMark/>
          </w:tcPr>
          <w:p w14:paraId="0FC76C3A"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08F9AC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5031967D" w14:textId="77777777" w:rsidR="00B14FA3" w:rsidRPr="00B14FA3" w:rsidRDefault="00B14FA3" w:rsidP="00B14FA3">
            <w:pPr>
              <w:keepNext/>
              <w:ind w:firstLine="0"/>
              <w:jc w:val="left"/>
            </w:pPr>
            <w:r>
              <w:rPr>
                <w:color w:val="000000"/>
                <w:szCs w:val="21"/>
              </w:rPr>
              <w:t>0.189±0.003</w:t>
            </w:r>
          </w:p>
        </w:tc>
        <w:tc>
          <w:tcPr>
            <w:tcW w:w="2000" w:type="dxa"/>
            <w:tcBorders>
              <w:top w:val="nil"/>
              <w:left w:val="nil"/>
              <w:bottom w:val="nil"/>
              <w:right w:val="nil"/>
            </w:tcBorders>
            <w:tcMar>
              <w:top w:w="55" w:type="dxa"/>
              <w:left w:w="70" w:type="dxa"/>
              <w:bottom w:w="55" w:type="dxa"/>
              <w:right w:w="70" w:type="dxa"/>
            </w:tcMar>
            <w:vAlign w:val="center"/>
            <w:hideMark/>
          </w:tcPr>
          <w:p w14:paraId="19671D4B" w14:textId="77777777" w:rsidR="00B14FA3" w:rsidRPr="00B14FA3" w:rsidRDefault="00B14FA3" w:rsidP="00B14FA3">
            <w:pPr>
              <w:keepNext/>
              <w:ind w:firstLine="0"/>
              <w:jc w:val="left"/>
            </w:pPr>
            <w:r>
              <w:rPr>
                <w:color w:val="000000"/>
                <w:szCs w:val="21"/>
              </w:rPr>
              <w:t>0.173±0.008</w:t>
            </w:r>
          </w:p>
        </w:tc>
      </w:tr>
      <w:tr w:rsidR="00B10182" w14:paraId="56D06F3E"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36945779"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73EC9705" w14:textId="77777777" w:rsidR="00B14FA3" w:rsidRPr="00B14FA3" w:rsidRDefault="00B14FA3" w:rsidP="00B14FA3">
            <w:pPr>
              <w:keepNext/>
              <w:ind w:firstLine="0"/>
              <w:jc w:val="left"/>
            </w:pPr>
            <w:r>
              <w:rPr>
                <w:color w:val="000000"/>
                <w:szCs w:val="21"/>
              </w:rPr>
              <w:t>DLinear</w:t>
            </w:r>
          </w:p>
        </w:tc>
        <w:tc>
          <w:tcPr>
            <w:tcW w:w="1200" w:type="dxa"/>
            <w:tcBorders>
              <w:top w:val="nil"/>
              <w:left w:val="nil"/>
              <w:bottom w:val="nil"/>
              <w:right w:val="nil"/>
            </w:tcBorders>
            <w:tcMar>
              <w:top w:w="55" w:type="dxa"/>
              <w:left w:w="70" w:type="dxa"/>
              <w:bottom w:w="55" w:type="dxa"/>
              <w:right w:w="70" w:type="dxa"/>
            </w:tcMar>
            <w:vAlign w:val="center"/>
            <w:hideMark/>
          </w:tcPr>
          <w:p w14:paraId="566A8164" w14:textId="77777777" w:rsidR="00B14FA3" w:rsidRPr="00B14FA3" w:rsidRDefault="00B14FA3" w:rsidP="00B14FA3">
            <w:pPr>
              <w:keepNext/>
              <w:ind w:firstLine="0"/>
              <w:jc w:val="left"/>
            </w:pPr>
            <w:r>
              <w:rPr>
                <w:color w:val="000000"/>
                <w:szCs w:val="21"/>
              </w:rPr>
              <w:t>4656</w:t>
            </w:r>
          </w:p>
        </w:tc>
        <w:tc>
          <w:tcPr>
            <w:tcW w:w="2000" w:type="dxa"/>
            <w:tcBorders>
              <w:top w:val="nil"/>
              <w:left w:val="nil"/>
              <w:bottom w:val="nil"/>
              <w:right w:val="nil"/>
            </w:tcBorders>
            <w:tcMar>
              <w:top w:w="55" w:type="dxa"/>
              <w:left w:w="70" w:type="dxa"/>
              <w:bottom w:w="55" w:type="dxa"/>
              <w:right w:w="70" w:type="dxa"/>
            </w:tcMar>
            <w:vAlign w:val="center"/>
            <w:hideMark/>
          </w:tcPr>
          <w:p w14:paraId="4EF2CCCB" w14:textId="77777777" w:rsidR="00B14FA3" w:rsidRPr="00B14FA3" w:rsidRDefault="00B14FA3" w:rsidP="00B14FA3">
            <w:pPr>
              <w:keepNext/>
              <w:ind w:firstLine="0"/>
              <w:jc w:val="left"/>
            </w:pPr>
            <w:r>
              <w:rPr>
                <w:color w:val="000000"/>
                <w:szCs w:val="21"/>
              </w:rPr>
              <w:t>0.437±0.016</w:t>
            </w:r>
          </w:p>
        </w:tc>
        <w:tc>
          <w:tcPr>
            <w:tcW w:w="2000" w:type="dxa"/>
            <w:tcBorders>
              <w:top w:val="nil"/>
              <w:left w:val="nil"/>
              <w:bottom w:val="nil"/>
              <w:right w:val="nil"/>
            </w:tcBorders>
            <w:tcMar>
              <w:top w:w="55" w:type="dxa"/>
              <w:left w:w="70" w:type="dxa"/>
              <w:bottom w:w="55" w:type="dxa"/>
              <w:right w:w="70" w:type="dxa"/>
            </w:tcMar>
            <w:vAlign w:val="center"/>
            <w:hideMark/>
          </w:tcPr>
          <w:p w14:paraId="53A75E10" w14:textId="77777777" w:rsidR="00B14FA3" w:rsidRPr="00B14FA3" w:rsidRDefault="00B14FA3" w:rsidP="00B14FA3">
            <w:pPr>
              <w:keepNext/>
              <w:ind w:firstLine="0"/>
              <w:jc w:val="left"/>
            </w:pPr>
            <w:r>
              <w:rPr>
                <w:color w:val="000000"/>
                <w:szCs w:val="21"/>
              </w:rPr>
              <w:t>0.371±0.011</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固定等权多尺度</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8208</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0.447±0.014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66E7B953"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154878CA"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84E9A01" w14:textId="77777777" w:rsidR="00B14FA3" w:rsidRPr="00B14FA3" w:rsidRDefault="00B14FA3" w:rsidP="00B14FA3">
            <w:pPr>
              <w:keepNext/>
              <w:ind w:firstLine="0"/>
              <w:jc w:val="left"/>
            </w:pPr>
            <w:r>
              <w:rPr>
                <w:color w:val="000000"/>
                <w:szCs w:val="21"/>
              </w:rPr>
              <w:t>全局可学习权重</w:t>
            </w:r>
          </w:p>
        </w:tc>
        <w:tc>
          <w:tcPr>
            <w:tcW w:w="1200" w:type="dxa"/>
            <w:tcBorders>
              <w:top w:val="nil"/>
              <w:left w:val="nil"/>
              <w:bottom w:val="nil"/>
              <w:right w:val="nil"/>
            </w:tcBorders>
            <w:tcMar>
              <w:top w:w="55" w:type="dxa"/>
              <w:left w:w="70" w:type="dxa"/>
              <w:bottom w:w="55" w:type="dxa"/>
              <w:right w:w="70" w:type="dxa"/>
            </w:tcMar>
            <w:vAlign w:val="center"/>
            <w:hideMark/>
          </w:tcPr>
          <w:p w14:paraId="1A76C9D2" w14:textId="77777777" w:rsidR="00B14FA3" w:rsidRPr="00B14FA3" w:rsidRDefault="00B14FA3" w:rsidP="00B14FA3">
            <w:pPr>
              <w:keepNext/>
              <w:ind w:firstLine="0"/>
              <w:jc w:val="left"/>
            </w:pPr>
            <w:r>
              <w:rPr>
                <w:color w:val="000000"/>
                <w:szCs w:val="21"/>
              </w:rPr>
              <w:t>8211</w:t>
            </w:r>
          </w:p>
        </w:tc>
        <w:tc>
          <w:tcPr>
            <w:tcW w:w="2000" w:type="dxa"/>
            <w:tcBorders>
              <w:top w:val="nil"/>
              <w:left w:val="nil"/>
              <w:bottom w:val="nil"/>
              <w:right w:val="nil"/>
            </w:tcBorders>
            <w:tcMar>
              <w:top w:w="55" w:type="dxa"/>
              <w:left w:w="70" w:type="dxa"/>
              <w:bottom w:w="55" w:type="dxa"/>
              <w:right w:w="70" w:type="dxa"/>
            </w:tcMar>
            <w:vAlign w:val="center"/>
            <w:hideMark/>
          </w:tcPr>
          <w:p w14:paraId="5A292C45" w14:textId="77777777" w:rsidR="00B14FA3" w:rsidRPr="00B14FA3" w:rsidRDefault="00B14FA3" w:rsidP="00B14FA3">
            <w:pPr>
              <w:keepNext/>
              <w:ind w:firstLine="0"/>
              <w:jc w:val="left"/>
            </w:pPr>
            <w:r>
              <w:rPr>
                <w:color w:val="000000"/>
                <w:szCs w:val="21"/>
              </w:rPr>
              <w:t>0.446±0.014</w:t>
            </w:r>
          </w:p>
        </w:tc>
        <w:tc>
          <w:tcPr>
            <w:tcW w:w="2000" w:type="dxa"/>
            <w:tcBorders>
              <w:top w:val="nil"/>
              <w:left w:val="nil"/>
              <w:bottom w:val="nil"/>
              <w:right w:val="nil"/>
            </w:tcBorders>
            <w:tcMar>
              <w:top w:w="55" w:type="dxa"/>
              <w:left w:w="70" w:type="dxa"/>
              <w:bottom w:w="55" w:type="dxa"/>
              <w:right w:w="70" w:type="dxa"/>
            </w:tcMar>
            <w:vAlign w:val="center"/>
            <w:hideMark/>
          </w:tcPr>
          <w:p w14:paraId="789428A2" w14:textId="77777777" w:rsidR="00B14FA3" w:rsidRPr="00B14FA3" w:rsidRDefault="00B14FA3" w:rsidP="00B14FA3">
            <w:pPr>
              <w:keepNext/>
              <w:ind w:firstLine="0"/>
              <w:jc w:val="left"/>
            </w:pPr>
            <w:r>
              <w:rPr>
                <w:color w:val="000000"/>
                <w:szCs w:val="21"/>
              </w:rPr>
              <w:t>0.377±0.009</w:t>
            </w:r>
          </w:p>
        </w:tc>
      </w:tr>
      <w:tr w:rsidR="00B10182" w14:paraId="25E1F678" w14:textId="77777777">
        <w:trPr>
          <w:cantSplit/>
          <w:jc w:val="center"/>
        </w:trPr>
        <w:tc>
          <w:tcPr>
            <w:tcW w:w="1300" w:type="dxa"/>
            <w:tcBorders>
              <w:top w:val="nil"/>
              <w:left w:val="nil"/>
              <w:bottom w:val="nil"/>
              <w:right w:val="nil"/>
            </w:tcBorders>
            <w:tcMar>
              <w:top w:w="55" w:type="dxa"/>
              <w:left w:w="70" w:type="dxa"/>
              <w:bottom w:w="55" w:type="dxa"/>
              <w:right w:w="70" w:type="dxa"/>
            </w:tcMar>
            <w:vAlign w:val="center"/>
            <w:hideMark/>
          </w:tcPr>
          <w:p w14:paraId="62BD8356" w14:textId="77777777" w:rsidR="00B14FA3" w:rsidRPr="00B14FA3" w:rsidRDefault="00B14FA3" w:rsidP="00B14FA3">
            <w:pPr>
              <w:keepNext/>
              <w:ind w:firstLine="0"/>
              <w:jc w:val="left"/>
            </w:pPr>
            <w:r>
              <w:rPr>
                <w:color w:val="000000"/>
                <w:szCs w:val="21"/>
              </w:rPr>
              <w:t>GÉANT</w:t>
            </w:r>
          </w:p>
        </w:tc>
        <w:tc>
          <w:tcPr>
            <w:tcW w:w="2500" w:type="dxa"/>
            <w:tcBorders>
              <w:top w:val="nil"/>
              <w:left w:val="nil"/>
              <w:bottom w:val="nil"/>
              <w:right w:val="nil"/>
            </w:tcBorders>
            <w:tcMar>
              <w:top w:w="55" w:type="dxa"/>
              <w:left w:w="70" w:type="dxa"/>
              <w:bottom w:w="55" w:type="dxa"/>
              <w:right w:w="70" w:type="dxa"/>
            </w:tcMar>
            <w:vAlign w:val="center"/>
            <w:hideMark/>
          </w:tcPr>
          <w:p w14:paraId="1B646072" w14:textId="77777777" w:rsidR="00B14FA3" w:rsidRPr="00B14FA3" w:rsidRDefault="00B14FA3" w:rsidP="00B14FA3">
            <w:pPr>
              <w:keepNext/>
              <w:ind w:firstLine="0"/>
              <w:jc w:val="left"/>
            </w:pPr>
            <w:r>
              <w:rPr>
                <w:color w:val="000000"/>
                <w:szCs w:val="21"/>
              </w:rPr>
              <w:t>本文方法</w:t>
            </w:r>
          </w:p>
        </w:tc>
        <w:tc>
          <w:tcPr>
            <w:tcW w:w="1200" w:type="dxa"/>
            <w:tcBorders>
              <w:top w:val="nil"/>
              <w:left w:val="nil"/>
              <w:bottom w:val="nil"/>
              <w:right w:val="nil"/>
            </w:tcBorders>
            <w:tcMar>
              <w:top w:w="55" w:type="dxa"/>
              <w:left w:w="70" w:type="dxa"/>
              <w:bottom w:w="55" w:type="dxa"/>
              <w:right w:w="70" w:type="dxa"/>
            </w:tcMar>
            <w:vAlign w:val="center"/>
            <w:hideMark/>
          </w:tcPr>
          <w:p w14:paraId="74D4C5F6" w14:textId="77777777" w:rsidR="00B14FA3" w:rsidRPr="00B14FA3" w:rsidRDefault="00B14FA3" w:rsidP="00B14FA3">
            <w:pPr>
              <w:keepNext/>
              <w:ind w:firstLine="0"/>
              <w:jc w:val="left"/>
            </w:pPr>
            <w:r>
              <w:rPr>
                <w:color w:val="000000"/>
                <w:szCs w:val="21"/>
              </w:rPr>
              <w:t>8339</w:t>
            </w:r>
          </w:p>
        </w:tc>
        <w:tc>
          <w:tcPr>
            <w:tcW w:w="2000" w:type="dxa"/>
            <w:tcBorders>
              <w:top w:val="nil"/>
              <w:left w:val="nil"/>
              <w:bottom w:val="nil"/>
              <w:right w:val="nil"/>
            </w:tcBorders>
            <w:tcMar>
              <w:top w:w="55" w:type="dxa"/>
              <w:left w:w="70" w:type="dxa"/>
              <w:bottom w:w="55" w:type="dxa"/>
              <w:right w:w="70" w:type="dxa"/>
            </w:tcMar>
            <w:vAlign w:val="center"/>
            <w:hideMark/>
          </w:tcPr>
          <w:p w14:paraId="21BB5253" w14:textId="77777777" w:rsidR="00B14FA3" w:rsidRPr="00B14FA3" w:rsidRDefault="00B14FA3" w:rsidP="00B14FA3">
            <w:pPr>
              <w:keepNext/>
              <w:ind w:firstLine="0"/>
              <w:jc w:val="left"/>
            </w:pPr>
            <w:r>
              <w:rPr>
                <w:color w:val="000000"/>
                <w:szCs w:val="21"/>
              </w:rPr>
              <w:t>0.426±0.029</w:t>
            </w:r>
          </w:p>
        </w:tc>
        <w:tc>
          <w:tcPr>
            <w:tcW w:w="2000" w:type="dxa"/>
            <w:tcBorders>
              <w:top w:val="nil"/>
              <w:left w:val="nil"/>
              <w:bottom w:val="nil"/>
              <w:right w:val="nil"/>
            </w:tcBorders>
            <w:tcMar>
              <w:top w:w="55" w:type="dxa"/>
              <w:left w:w="70" w:type="dxa"/>
              <w:bottom w:w="55" w:type="dxa"/>
              <w:right w:w="70" w:type="dxa"/>
            </w:tcMar>
            <w:vAlign w:val="center"/>
            <w:hideMark/>
          </w:tcPr>
          <w:p w14:paraId="2A51F99E" w14:textId="77777777" w:rsidR="00B14FA3" w:rsidRPr="00B14FA3" w:rsidRDefault="00B14FA3" w:rsidP="00B14FA3">
            <w:pPr>
              <w:keepNext/>
              <w:ind w:firstLine="0"/>
              <w:jc w:val="left"/>
            </w:pPr>
            <w:r>
              <w:rPr>
                <w:color w:val="000000"/>
                <w:szCs w:val="21"/>
              </w:rPr>
              <w:t>0.366±0.018</w:t>
            </w:r>
          </w:p>
        </w:tc>
      </w:tr>
    </w:tbl>
    <w:p w14:paraId="68B92BCA" w14:textId="77777777" w:rsidR="00B14FA3" w:rsidRPr="00B14FA3" w:rsidRDefault="00B14FA3" w:rsidP="00B14FA3">
      <w:r>
        <w:rPr>
          <w:color w:val="000000"/>
          <w:szCs w:val="21"/>
        </w:rPr>
        <w:t>图3汇总随机种子42～49下的相对改进结果，比较对象为DLinear和固定等权多尺度模型，指标包括MSE、MAE和RMSE。图中的散点对应单次随机种子实验，半小提琴以平滑轮廓展示8次结果的分布，黑色菱形和横向误差线表示8次改进率的均值及95%置信区间，0%虚线表示两种方法误差相同。相对DLinear时，Abilene的MSE、MAE和RMSE平均改进率为2.77%、8.01%和1.40%，其中MSE与RMSE在8次实验中均改善；GÉANT分别为2.35%、1.32%和1.22%，且跨越0%的情况更多。相对固定等权模型时，Abilene三项指标的平均改进率为1.65%、8.92%和0.84%，GÉANT为4.54%、3.05%和2.37%。两种基线下的平均改进率都为正，但GÉANT在不同随机种子之间的波动更明显。</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715000" cy="2663571"/>
            <wp:docPr id="28" name="Picture 28"/>
            <wp:cNvGraphicFramePr>
              <a:graphicFrameLocks noChangeAspect="1"/>
            </wp:cNvGraphicFramePr>
            <a:graphic>
              <a:graphicData uri="http://schemas.openxmlformats.org/drawingml/2006/picture">
                <pic:pic>
                  <pic:nvPicPr>
                    <pic:cNvPr id="0" name="fig3_relative_improvement_classic.png"/>
                    <pic:cNvPicPr/>
                  </pic:nvPicPr>
                  <pic:blipFill>
                    <a:blip r:embed="rId24"/>
                    <a:stretch>
                      <a:fillRect/>
                    </a:stretch>
                  </pic:blipFill>
                  <pic:spPr>
                    <a:xfrm>
                      <a:off x="0" y="0"/>
                      <a:ext cx="5715000" cy="2663571"/>
                    </a:xfrm>
                    <a:prstGeom prst="rect"/>
                  </pic:spPr>
                </pic:pic>
              </a:graphicData>
            </a:graphic>
          </wp:inline>
        </w:drawing>
      </w:r>
    </w:p>
    <w:p w14:paraId="64F9B12D" w14:textId="77777777" w:rsidR="00B14FA3" w:rsidRPr="00B14FA3" w:rsidRDefault="00B14FA3" w:rsidP="00B14FA3">
      <w:pPr>
        <w:keepLines/>
        <w:spacing w:before="60" w:after="80"/>
        <w:ind w:firstLine="0"/>
        <w:jc w:val="center"/>
      </w:pPr>
      <w:r>
        <w:rPr>
          <w:rFonts w:eastAsia="黑体"/>
          <w:b/>
          <w:sz w:val="18"/>
          <w:szCs w:val="18"/>
        </w:rPr>
        <w:t>图3 Abilene与GÉANT上本文方法相对两类基线的八随机种子多指标相对改进分布</w:t>
      </w:r>
      <w:r>
        <w:rPr>
          <w:rFonts w:eastAsia="黑体"/>
          <w:b/>
          <w:sz w:val="18"/>
          <w:szCs w:val="18"/>
        </w:rPr>
      </w:r>
      <w:r>
        <w:rPr>
          <w:rFonts w:eastAsia="黑体"/>
          <w:b/>
          <w:sz w:val="18"/>
          <w:szCs w:val="18"/>
        </w:rPr>
      </w:r>
      <w:r>
        <w:rPr>
          <w:rFonts w:eastAsia="黑体"/>
          <w:b/>
          <w:sz w:val="18"/>
          <w:szCs w:val="18"/>
        </w:rPr>
      </w:r>
    </w:p>
    <w:p>
      <w:pPr/>
      <w:r>
        <w:t>固定等权模型只能检验等权融合是否足够；全局可学习权重模型进一步控制了“权重不等”这一因素。表3显示，样本级路由在Abilene的6个种子、GÉANT的7个种子上取得较低MSE，但GÉANT种子43的MSE比全局权重模型高13.22%，使跨种子95%置信区间跨越零。图4进一步结合全测试点的平均预测偏差与按真实值波动选取的预测轨迹，观察整体趋势和具体误差。</w:t>
      </w:r>
    </w:p>
    <w:p w14:paraId="22D1C830" w14:textId="77777777" w:rsidR="00B14FA3" w:rsidRPr="00B14FA3" w:rsidRDefault="00B14FA3" w:rsidP="00B14FA3">
      <w:pPr>
        <w:keepNext/>
        <w:spacing w:before="60"/>
        <w:ind w:firstLine="0"/>
        <w:jc w:val="center"/>
      </w:pPr>
      <w:r>
        <w:drawing>
          <wp:inline xmlns:a="http://schemas.openxmlformats.org/drawingml/2006/main" xmlns:pic="http://schemas.openxmlformats.org/drawingml/2006/picture">
            <wp:extent cx="5349240" cy="3917416"/>
            <wp:docPr id="30" name="Picture 30"/>
            <wp:cNvGraphicFramePr>
              <a:graphicFrameLocks noChangeAspect="1"/>
            </wp:cNvGraphicFramePr>
            <a:graphic>
              <a:graphicData uri="http://schemas.openxmlformats.org/drawingml/2006/picture">
                <pic:pic>
                  <pic:nvPicPr>
                    <pic:cNvPr id="0" name="fig4_calibration_plus_trajectories_preview.png"/>
                    <pic:cNvPicPr/>
                  </pic:nvPicPr>
                  <pic:blipFill>
                    <a:blip r:embed="rId28"/>
                    <a:stretch>
                      <a:fillRect/>
                    </a:stretch>
                  </pic:blipFill>
                  <pic:spPr>
                    <a:xfrm>
                      <a:off x="0" y="0"/>
                      <a:ext cx="5349240" cy="3917416"/>
                    </a:xfrm>
                    <a:prstGeom prst="rect"/>
                  </pic:spPr>
                </pic:pic>
              </a:graphicData>
            </a:graphic>
          </wp:inline>
        </w:drawing>
      </w:r>
    </w:p>
    <w:p w14:paraId="64F9B12D" w14:textId="77777777" w:rsidR="00B14FA3" w:rsidRPr="00B14FA3" w:rsidRDefault="00B14FA3" w:rsidP="00B14FA3">
      <w:pPr>
        <w:keepNext w:val="0"/>
        <w:keepLines/>
        <w:spacing w:before="60" w:after="80"/>
        <w:ind w:firstLine="0"/>
        <w:jc w:val="center"/>
      </w:pPr>
      <w:r>
        <w:rPr>
          <w:rFonts w:eastAsia="黑体"/>
          <w:b/>
          <w:sz w:val="18"/>
          <w:szCs w:val="18"/>
        </w:rPr>
        <w:t>图4 Abilene与GÉANT全测试点预测校准及典型窗口预测轨迹</w:t>
      </w:r>
      <w:r>
        <w:rPr>
          <w:rFonts w:eastAsia="黑体"/>
          <w:b/>
          <w:sz w:val="18"/>
          <w:szCs w:val="18"/>
        </w:rPr>
      </w:r>
      <w:r>
        <w:rPr>
          <w:rFonts w:eastAsia="黑体"/>
          <w:b/>
          <w:sz w:val="18"/>
          <w:szCs w:val="18"/>
        </w:rPr>
      </w:r>
      <w:r>
        <w:rPr>
          <w:rFonts w:eastAsia="黑体"/>
          <w:b/>
          <w:sz w:val="18"/>
          <w:szCs w:val="18"/>
        </w:rPr>
      </w:r>
    </w:p>
    <w:p>
      <w:pPr>
        <w:keepNext w:val="0"/>
        <w:keepLines/>
      </w:pPr>
      <w:r>
        <w:t>图4(a、b)汇总随机种子42～49的全部测试窗口、24个预测步及有效OD通道：按真实值分位点划为最多40个区间，曲线表示各区间的8种子平均预测值，浅色带为种子间±1个标准差，虚线为理想预测。三种模型在高真实值区域均有低估，本文方法的平均偏差较小，但分组均值不能代表逐点误差。图4(c～f)固定随机种子42，仅根据真实序列选择标准差接近第75百分位的OD通道，再选择波动程度接近中位数和第90百分位的窗口，未依据模型误差挑选。四例中本文方法有三例的24步均方误差低于DLinear和固定等权模型；Abilene的典型波动窗口则较差。轨迹展示局部行为，总体精度以表3的配对结果为准；重叠测试窗口也不视为独立重复。</w:t>
      </w:r>
    </w:p>
    <w:p>
      <w:pPr>
        <w:keepNext w:val="0"/>
        <w:keepLines/>
      </w:pPr>
      <w:r>
        <w:t>模型规模之外，还需考察前向开销。对8个随机种子的预测长度24检查点，在NVIDIA GTX 1060上以批量16对预加载的测试张量计时，本文方法在Abilene和GÉANT上的平均每批前向耗时分别为2.65 ms和2.61 ms，固定等权模型分别为2.38 ms和2.10 ms，单尺度DLinear分别为0.77 ms和0.70 ms。计时仅覆盖模型前向计算，不含数据读取与传输。因此，本文方法参数量较小，但三个尺度专家及路由计算仍增加了推理开销；上述结果不代表端到端部署时延。</w:t>
      </w:r>
    </w:p>
    <w:p w14:paraId="5A0F0016" w14:textId="77777777" w:rsidR="00B14FA3" w:rsidRPr="00B14FA3" w:rsidRDefault="00B14FA3" w:rsidP="00B14FA3">
      <w:pPr>
        <w:keepNext/>
        <w:keepLines/>
        <w:spacing w:before="80" w:after="20"/>
        <w:ind w:firstLine="0"/>
        <w:jc w:val="left"/>
        <w:outlineLvl w:val="1"/>
        <w:rPr>
          <w:rFonts w:eastAsia="黑体"/>
          <w:b/>
          <w:bCs/>
          <w:szCs w:val="32"/>
        </w:rPr>
      </w:pPr>
      <w:r>
        <w:rPr>
          <w:rFonts w:ascii="Arial" w:eastAsia="黑体" w:hAnsi="Arial"/>
          <w:b/>
          <w:bCs/>
          <w:color w:val="000000"/>
          <w:szCs w:val="21"/>
        </w:rPr>
        <w:t>2.5 路由权重分析</w:t>
      </w:r>
      <w:r>
        <w:rPr>
          <w:rFonts w:ascii="Arial" w:eastAsia="黑体" w:hAnsi="Arial"/>
          <w:b/>
          <w:bCs/>
          <w:color w:val="000000"/>
          <w:szCs w:val="21"/>
        </w:rPr>
      </w:r>
    </w:p>
    <w:p w14:paraId="0C8325AF" w14:textId="77777777" w:rsidR="00B14FA3" w:rsidRPr="00B14FA3" w:rsidRDefault="00B14FA3" w:rsidP="00B14FA3">
      <w:r>
        <w:rPr>
          <w:color w:val="000000"/>
          <w:szCs w:val="21"/>
        </w:rPr>
        <w:t>图5展示随机种子42～49下三个尺度的路由权重。蓝、绿、橙色小提琴分别对应尺度1、2和4在全部测试窗口及种子上的汇总分布；彩色散点为各随机种子的窗口平均权重，短横线为汇总分布中位数。黑色菱形和误差线表示8个种子均值的均值±1个标准差，水平虚线为固定等权1/3。小提琴合并了种子与窗口两个层次，其宽度不能直接解释为同一种子内的窗口响应强度。</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pPr>
        <w:keepNext/>
        <w:jc w:val="center"/>
      </w:pPr>
      <w:r>
        <w:drawing>
          <wp:inline xmlns:a="http://schemas.openxmlformats.org/drawingml/2006/main" xmlns:pic="http://schemas.openxmlformats.org/drawingml/2006/picture">
            <wp:extent cx="5715000" cy="2534454"/>
            <wp:docPr id="29" name="Picture 29"/>
            <wp:cNvGraphicFramePr>
              <a:graphicFrameLocks noChangeAspect="1"/>
            </wp:cNvGraphicFramePr>
            <a:graphic>
              <a:graphicData uri="http://schemas.openxmlformats.org/drawingml/2006/picture">
                <pic:pic>
                  <pic:nvPicPr>
                    <pic:cNvPr id="0" name="fig5_router_weights_classic.png"/>
                    <pic:cNvPicPr/>
                  </pic:nvPicPr>
                  <pic:blipFill>
                    <a:blip r:embed="rId25"/>
                    <a:stretch>
                      <a:fillRect/>
                    </a:stretch>
                  </pic:blipFill>
                  <pic:spPr>
                    <a:xfrm>
                      <a:off x="0" y="0"/>
                      <a:ext cx="5715000" cy="2534454"/>
                    </a:xfrm>
                    <a:prstGeom prst="rect"/>
                  </pic:spPr>
                </pic:pic>
              </a:graphicData>
            </a:graphic>
          </wp:inline>
        </w:drawing>
      </w:r>
    </w:p>
    <w:p>
      <w:pPr>
        <w:keepNext w:val="0"/>
        <w:keepLines/>
        <w:spacing w:before="60" w:after="80"/>
        <w:ind w:firstLine="0"/>
        <w:jc w:val="center"/>
      </w:pPr>
      <w:r>
        <w:rPr>
          <w:rFonts w:eastAsia="黑体"/>
          <w:b/>
          <w:sz w:val="18"/>
          <w:szCs w:val="18"/>
        </w:rPr>
        <w:t>图5 Abilene与GÉANT的逐窗口路由权重汇总分布及八种子均值</w:t>
      </w:r>
    </w:p>
    <w:p>
      <w:pPr>
        <w:keepLines/>
      </w:pPr>
      <w:r>
        <w:rPr>
          <w:color w:val="000000"/>
          <w:szCs w:val="21"/>
        </w:rPr>
        <w:t>Abilene三个尺度的汇总平均权重为0.257、0.319和0.424，GÉANT为0.283、0.318和0.399。虽然总体均值偏离1/3，但GÉANT三个尺度的汇总权重方差约96.2%、95.8%和97.7%来自种子之间；同一种子内随测试窗口的变化较小。Abilene的对应比例为48.7%、86.1%和80.6%。图5的汇总分布同时包含种子间差异与同一种子内的窗口差异，因此不能单独证明路由器有效识别每个窗口的尺度需求。</w:t>
      </w:r>
    </w:p>
    <w:p w14:paraId="2B7D35DC" w14:textId="77777777" w:rsidR="00B14FA3" w:rsidRPr="00B14FA3" w:rsidRDefault="00B14FA3" w:rsidP="00B14FA3">
      <w:r>
        <w:rPr>
          <w:color w:val="000000"/>
          <w:szCs w:val="21"/>
        </w:rPr>
        <w:t>进一步以输入窗口平均绝对一阶差分衡量波动强度，并用训练窗口的三分位数阈值划分测试窗口。Abilene低、中、高波动组分别有15、406、392个窗口，本文方法相对全局权重模型的逐种子平均MSE改进率分别为4.43%、1.90%、1.69%；GÉANT在训练阈值下无低波动测试窗口，中、高组分别有76、375个窗口，改进率为5.85%和4.06%。Abilene高波动组的尺度1平均权重高于中波动组，但误差优势并未更强；GÉANT中、高组的权重近似相同。分组结果尚不支持“波动越强，路由收益越大”的解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7D87F862"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ascii="Arial" w:eastAsia="黑体" w:hAnsi="Arial"/>
          <w:b/>
          <w:color w:val="000000"/>
          <w:kern w:val="0"/>
          <w:sz w:val="24"/>
          <w:szCs w:val="20"/>
        </w:rPr>
        <w:t xml:space="preserve">3 </w:t>
      </w:r>
      <w:r w:rsidRPr="00B14FA3">
        <w:rPr>
          <w:rFonts w:ascii="Arial" w:eastAsia="黑体" w:hAnsi="Arial"/>
          <w:b/>
          <w:color w:val="000000"/>
          <w:kern w:val="0"/>
          <w:sz w:val="24"/>
          <w:szCs w:val="20"/>
        </w:rPr>
        <w:t>结论</w:t>
      </w:r>
    </w:p>
    <w:p w14:paraId="6450C208" w14:textId="77777777" w:rsidR="00B14FA3" w:rsidRPr="00B14FA3" w:rsidRDefault="00B14FA3" w:rsidP="00B14FA3">
      <w:r>
        <w:rPr>
          <w:color w:val="000000"/>
          <w:szCs w:val="21"/>
        </w:rPr>
        <w:t>本文面向骨干网络OD流量中的短时波动和较慢趋势，以尺度1、2和4的DLinear专家构建多尺度预测，并通过轻量路由网络计算输入相关融合权重。在预测长度24的Abilene和GÉANT任务上，本文方法相对DLinear、LightTS和固定等权模型取得较低平均误差。加入全局可学习权重对照后，样本级路由的逐种子平均MSE改进率分别为1.80%和4.31%，但GÉANT的95%置信区间跨越零。按真实值分组的预测校准表明，各模型对较高流量取值仍有低估；本文方法在高值端的平均偏差较小，但不能由此推断其在每个测试点均更准确。逐种子权重及波动分组分析也未能充分证明路由器稳定地匹配每个窗口的尺度需求。后续需在更多数据和预测设置下检验这种输入相关融合的稳定收益。</w:t>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r>
        <w:rPr>
          <w:color w:val="000000"/>
          <w:szCs w:val="21"/>
        </w:rPr>
      </w:r>
    </w:p>
    <w:p w14:paraId="0930A59F" w14:textId="77777777" w:rsidR="00B14FA3" w:rsidRPr="00B14FA3" w:rsidRDefault="00B14FA3" w:rsidP="00B14FA3">
      <w:pPr>
        <w:keepNext/>
        <w:widowControl/>
        <w:spacing w:before="120" w:after="40"/>
        <w:ind w:firstLine="0"/>
        <w:jc w:val="left"/>
        <w:rPr>
          <w:rFonts w:eastAsia="黑体"/>
          <w:b/>
          <w:kern w:val="0"/>
          <w:sz w:val="28"/>
          <w:szCs w:val="20"/>
        </w:rPr>
      </w:pPr>
      <w:r w:rsidRPr="00B14FA3">
        <w:rPr>
          <w:rFonts w:eastAsia="黑体"/>
          <w:b/>
          <w:kern w:val="0"/>
          <w:sz w:val="28"/>
          <w:szCs w:val="20"/>
        </w:rPr>
        <w:t>参考文献</w:t>
      </w:r>
    </w:p>
    <w:p w14:paraId="2A4E69C7" w14:textId="77777777" w:rsidR="00B14FA3" w:rsidRPr="00B14FA3" w:rsidRDefault="00B14FA3" w:rsidP="00B14FA3">
      <w:pPr>
        <w:ind w:left="420" w:hanging="420"/>
      </w:pPr>
      <w:bookmarkStart w:id="1" w:name="OLE_LINK4"/>
      <w:r w:rsidRPr="00B14FA3">
        <w:rPr>
          <w:sz w:val="18"/>
        </w:rPr>
        <w:t>[1] LOHRASBINASAB I, KESHAVARZ A, AMIN-NEJAD S, et al. From statistical- to machine learning-based network traffic prediction[J]. Transactions on Emerging Telecommunications Technologies, 2022, 33(4): e4394. DOI: 10.1002/ett.4394.</w:t>
      </w:r>
    </w:p>
    <w:p w14:paraId="1D3CC6CB" w14:textId="77777777" w:rsidR="00B14FA3" w:rsidRPr="00B14FA3" w:rsidRDefault="00B14FA3" w:rsidP="00B14FA3">
      <w:pPr>
        <w:ind w:left="420" w:hanging="420"/>
      </w:pPr>
      <w:r w:rsidRPr="00B14FA3">
        <w:rPr>
          <w:sz w:val="18"/>
        </w:rPr>
        <w:t>[2] QIN L, GU H, WEI W, et al. Spatio-temporal communication network traffic prediction method based on graph neural network[J]. Information Sciences, 2024, 679: 121003. DOI: 10.1016/j.ins.2024.121003.</w:t>
      </w:r>
    </w:p>
    <w:p w14:paraId="3FA328DF" w14:textId="77777777" w:rsidR="00B14FA3" w:rsidRPr="00B14FA3" w:rsidRDefault="00B14FA3" w:rsidP="00B14FA3">
      <w:pPr>
        <w:ind w:left="420" w:hanging="420"/>
      </w:pPr>
      <w:r w:rsidRPr="00B14FA3">
        <w:rPr>
          <w:sz w:val="18"/>
        </w:rPr>
        <w:t>[3] ZHOU J, HAN T, XIAO F, et al. Multiscale network traffic prediction method based on deep echo-state network for Internet of Things[J]. IEEE Internet of Things Journal, 2022, 9(21): 21862-21874. DOI: 10.1109/JIOT.2022.3181807.</w:t>
      </w:r>
    </w:p>
    <w:p w14:paraId="7163C5A8" w14:textId="77777777" w:rsidR="00B14FA3" w:rsidRPr="00B14FA3" w:rsidRDefault="00B14FA3" w:rsidP="00B14FA3">
      <w:pPr>
        <w:ind w:left="420" w:hanging="420"/>
      </w:pPr>
      <w:r w:rsidRPr="00B14FA3">
        <w:rPr>
          <w:sz w:val="18"/>
        </w:rPr>
        <w:t>[4] ZENG A, CHEN M, ZHANG L, et al. Are transformers effective for time series forecasting?[C]//Proceedings of the AAAI Conference on Artificial Intelligence. 2023, 37(9): 11121-11128. DOI: 10.1609/aaai.v37i9.26317.</w:t>
      </w:r>
    </w:p>
    <w:p w14:paraId="1BA2A549" w14:textId="77777777" w:rsidR="00B14FA3" w:rsidRPr="00B14FA3" w:rsidRDefault="00B14FA3" w:rsidP="00B14FA3">
      <w:pPr>
        <w:ind w:left="420" w:hanging="420"/>
      </w:pPr>
      <w:r>
        <w:rPr>
          <w:sz w:val="18"/>
        </w:rPr>
        <w:t>[5] WANG S, WU H, SHI X, et al. TimeMixer: decomposable multiscale mixing for time series forecasting[C]//International Conference on Learning Representations. 2024.</w:t>
      </w:r>
    </w:p>
    <w:p w14:paraId="32B65309" w14:textId="77777777" w:rsidR="00B14FA3" w:rsidRPr="00B14FA3" w:rsidRDefault="00B14FA3" w:rsidP="00B14FA3">
      <w:pPr>
        <w:ind w:left="420" w:hanging="420"/>
      </w:pPr>
      <w:r>
        <w:rPr>
          <w:sz w:val="18"/>
        </w:rPr>
        <w:t>[6] ZHANG T, ZHANG Y, CAO W, et al. Less is more: fast multivariate time series forecasting with light sampling-oriented MLP structures[EB/OL]. (2022-07-04)[2026-09-20]. https://arxiv.org/abs/2207.01186. DOI: 10.48550/arXiv.2207.01186.</w:t>
      </w:r>
    </w:p>
    <w:p w14:paraId="32B65309" w14:textId="77777777" w:rsidR="00B14FA3" w:rsidRPr="00B14FA3" w:rsidRDefault="00B14FA3" w:rsidP="00B14FA3">
      <w:pPr>
        <w:ind w:left="420" w:hanging="420"/>
      </w:pPr>
      <w:r>
        <w:rPr>
          <w:sz w:val="18"/>
        </w:rPr>
        <w:t>[7] KUREŠ M, KOUMAR J, HYNEK K. CESNET TS-Zoo: a library for reproducible analysis of network traffic time series[C]//2025 21st International Conference on Network and Service Management. 2025. DOI: 10.23919/CNSM67658.2025.11297513.</w:t>
      </w:r>
    </w:p>
    <w:p w14:paraId="32B65309" w14:textId="77777777" w:rsidR="00B14FA3" w:rsidRPr="00B14FA3" w:rsidRDefault="00B14FA3" w:rsidP="00B14FA3">
      <w:pPr>
        <w:ind w:left="420" w:hanging="420"/>
      </w:pPr>
      <w:r>
        <w:rPr>
          <w:sz w:val="18"/>
        </w:rPr>
        <w:t>[8] ZHANG Y, ROUGHAN M, DUFFIELD N, et al. Fast accurate computation of large-scale IP traffic matrices from link loads[J]. ACM SIGMETRICS Performance Evaluation Review, 2003, 31(1): 206-217. DOI: 10.1145/885651.781053.</w:t>
      </w:r>
    </w:p>
    <w:p w14:paraId="32B65309" w14:textId="77777777" w:rsidR="00B14FA3" w:rsidRPr="00B14FA3" w:rsidRDefault="00B14FA3" w:rsidP="00B14FA3">
      <w:pPr>
        <w:ind w:left="420" w:hanging="420"/>
      </w:pPr>
      <w:r>
        <w:rPr>
          <w:sz w:val="18"/>
        </w:rPr>
        <w:t>[9] UHLIG S, QUOITIN B, LEPROPRE J, et al. Providing public intradomain traffic matrices to the research community[J]. ACM SIGCOMM Computer Communication Review, 2006, 36(1): 83-86. DOI: 10.1145/1111322.1111341.</w:t>
      </w:r>
    </w:p>
    <w:p w14:paraId="49ABA0AF" w14:textId="77777777" w:rsidR="00B14FA3" w:rsidRPr="00B14FA3" w:rsidRDefault="00B14FA3" w:rsidP="00B14FA3">
      <w:pPr>
        <w:ind w:left="420" w:hanging="420"/>
      </w:pPr>
      <w:r>
        <w:rPr>
          <w:sz w:val="18"/>
        </w:rPr>
        <w:t>[10] 韦烜, 刘志华, 李青, 等. 大型IP网络流量矩阵分析预测的探讨研究[J]. 系统工程与电子技术, 2024, 46(6): 2164-2173. DOI: 10.12305/j.issn.1001-506X.2024.06.35.</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p w14:paraId="58403822" w14:textId="77777777" w:rsidR="00B14FA3" w:rsidRPr="00B14FA3" w:rsidRDefault="00B14FA3" w:rsidP="00B14FA3">
      <w:pPr>
        <w:ind w:left="420" w:hanging="420"/>
      </w:pPr>
      <w:r>
        <w:rPr>
          <w:sz w:val="18"/>
        </w:rPr>
        <w:t>[11] 唐文杰, 肖一磊, 孔祥宇, 等. CycleLLH：一种基于周期性整合的新型网络流量预测模型[J]. 计算机学报, 2024, 47(12): 2867-2888. DOI: 10.11897/SP.J.1016.2024.02867.</w:t>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r>
        <w:rPr>
          <w:sz w:val="18"/>
        </w:rPr>
      </w:r>
    </w:p>
    <w:bookmarkEnd w:id="1"/>
    <w:sectPr w:rsidR="003E35DB" w:rsidRPr="00B14FA3" w:rsidSect="00F23B67">
      <w:headerReference w:type="default" r:id="rId9"/>
      <w:footerReference w:type="first" r:id="rId10"/>
      <w:pgSz w:w="11906" w:h="16838"/>
      <w:pgMar w:top="1757" w:right="1134" w:bottom="1417" w:left="1134"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222EBF2" w14:textId="77777777" w:rsidR="00E407AF" w:rsidRDefault="00E407AF" w:rsidP="00F23B67">
      <w:r>
        <w:separator/>
      </w:r>
    </w:p>
  </w:endnote>
  <w:endnote w:type="continuationSeparator" w:id="0">
    <w:p w14:paraId="2C78B4FB" w14:textId="77777777" w:rsidR="00E407AF" w:rsidRDefault="00E407AF" w:rsidP="00F23B67">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等线 Light">
    <w:panose1 w:val="02010600030101010101"/>
    <w:charset w:val="86"/>
    <w:family w:val="auto"/>
    <w:pitch w:val="variable"/>
    <w:sig w:usb0="A00002BF" w:usb1="38CF7CFA" w:usb2="00000016" w:usb3="00000000" w:csb0="0004000F" w:csb1="00000000"/>
  </w:font>
  <w:font w:name="黑体">
    <w:altName w:val="SimHei"/>
    <w:panose1 w:val="02010609060101010101"/>
    <w:charset w:val="86"/>
    <w:family w:val="modern"/>
    <w:pitch w:val="fixed"/>
    <w:sig w:usb0="800002BF" w:usb1="38CF7CFA" w:usb2="00000016" w:usb3="00000000" w:csb0="00040001" w:csb1="00000000"/>
  </w:font>
  <w:font w:name="Cambria Math">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楷体">
    <w:panose1 w:val="02010609060101010101"/>
    <w:charset w:val="86"/>
    <w:family w:val="modern"/>
    <w:pitch w:val="fixed"/>
    <w:sig w:usb0="800002BF" w:usb1="38CF7CFA"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A1DB3E" w14:textId="77777777" w:rsidR="00F23B67" w:rsidRDefault="00F23B67">
    <w:pPr>
      <w:jc w:val="left"/>
    </w:pPr>
    <w:r>
      <w:rPr>
        <w:sz w:val="16"/>
      </w:rPr>
      <w:t>收稿日期：</w:t>
    </w:r>
    <w:r>
      <w:rPr>
        <w:sz w:val="16"/>
      </w:rPr>
      <w:t>[</w:t>
    </w:r>
    <w:r>
      <w:rPr>
        <w:sz w:val="16"/>
      </w:rPr>
      <w:t>请填写，格式</w:t>
    </w:r>
    <w:r>
      <w:rPr>
        <w:sz w:val="16"/>
      </w:rPr>
      <w:t>YYYY-MM-DD]</w:t>
    </w:r>
  </w:p>
  <w:p w14:paraId="66649098" w14:textId="77777777" w:rsidR="00F23B67" w:rsidRDefault="00F23B67">
    <w:pPr>
      <w:jc w:val="left"/>
    </w:pPr>
    <w:r>
      <w:rPr>
        <w:sz w:val="16"/>
      </w:rPr>
      <w:t>基金项目：</w:t>
    </w:r>
    <w:r>
      <w:rPr>
        <w:sz w:val="16"/>
      </w:rPr>
      <w:t>[</w:t>
    </w:r>
    <w:r>
      <w:rPr>
        <w:sz w:val="16"/>
      </w:rPr>
      <w:t>基金来源</w:t>
    </w:r>
    <w:r>
      <w:rPr>
        <w:sz w:val="16"/>
      </w:rPr>
      <w:t>]</w:t>
    </w:r>
    <w:r>
      <w:rPr>
        <w:sz w:val="16"/>
      </w:rPr>
      <w:t>（</w:t>
    </w:r>
    <w:r>
      <w:rPr>
        <w:sz w:val="16"/>
      </w:rPr>
      <w:t>[</w:t>
    </w:r>
    <w:r>
      <w:rPr>
        <w:sz w:val="16"/>
      </w:rPr>
      <w:t>基金项目编号</w:t>
    </w:r>
    <w:r>
      <w:rPr>
        <w:sz w:val="16"/>
      </w:rPr>
      <w:t>]</w:t>
    </w:r>
    <w:r>
      <w:rPr>
        <w:sz w:val="16"/>
      </w:rPr>
      <w:t>）</w:t>
    </w:r>
  </w:p>
  <w:p w14:paraId="3B0C0477" w14:textId="77777777" w:rsidR="00F23B67" w:rsidRDefault="00F23B67">
    <w:pPr>
      <w:jc w:val="left"/>
    </w:pPr>
    <w:r>
      <w:rPr>
        <w:sz w:val="16"/>
      </w:rPr>
      <w:t>第一作者简介：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w:t>
    </w:r>
  </w:p>
  <w:p w14:paraId="57141CA0" w14:textId="77777777" w:rsidR="00F23B67" w:rsidRDefault="00F23B67">
    <w:pPr>
      <w:jc w:val="left"/>
    </w:pPr>
    <w:r>
      <w:rPr>
        <w:sz w:val="16"/>
      </w:rPr>
      <w:t>通信作者简介：</w:t>
    </w:r>
    <w:r>
      <w:rPr>
        <w:sz w:val="16"/>
      </w:rPr>
      <w:t>[</w:t>
    </w:r>
    <w:r>
      <w:rPr>
        <w:sz w:val="16"/>
      </w:rPr>
      <w:t>姓名</w:t>
    </w:r>
    <w:r>
      <w:rPr>
        <w:sz w:val="16"/>
      </w:rPr>
      <w:t>]</w:t>
    </w:r>
    <w:r>
      <w:rPr>
        <w:sz w:val="16"/>
      </w:rPr>
      <w:t>（</w:t>
    </w:r>
    <w:r>
      <w:rPr>
        <w:sz w:val="16"/>
      </w:rPr>
      <w:t>[</w:t>
    </w:r>
    <w:r>
      <w:rPr>
        <w:sz w:val="16"/>
      </w:rPr>
      <w:t>出生年</w:t>
    </w:r>
    <w:r>
      <w:rPr>
        <w:sz w:val="16"/>
      </w:rPr>
      <w:t>]—</w:t>
    </w:r>
    <w:r>
      <w:rPr>
        <w:sz w:val="16"/>
      </w:rPr>
      <w:t>），</w:t>
    </w:r>
    <w:r>
      <w:rPr>
        <w:sz w:val="16"/>
      </w:rPr>
      <w:t>[</w:t>
    </w:r>
    <w:r>
      <w:rPr>
        <w:sz w:val="16"/>
      </w:rPr>
      <w:t>性别（民族，汉族可省略）</w:t>
    </w:r>
    <w:r>
      <w:rPr>
        <w:sz w:val="16"/>
      </w:rPr>
      <w:t>]</w:t>
    </w:r>
    <w:r>
      <w:rPr>
        <w:sz w:val="16"/>
      </w:rPr>
      <w:t>，</w:t>
    </w:r>
    <w:r>
      <w:rPr>
        <w:sz w:val="16"/>
      </w:rPr>
      <w:t>[</w:t>
    </w:r>
    <w:r>
      <w:rPr>
        <w:sz w:val="16"/>
      </w:rPr>
      <w:t>职称</w:t>
    </w:r>
    <w:r>
      <w:rPr>
        <w:sz w:val="16"/>
      </w:rPr>
      <w:t>]</w:t>
    </w:r>
    <w:r>
      <w:rPr>
        <w:sz w:val="16"/>
      </w:rPr>
      <w:t>，</w:t>
    </w:r>
    <w:r>
      <w:rPr>
        <w:sz w:val="16"/>
      </w:rPr>
      <w:t>[</w:t>
    </w:r>
    <w:r>
      <w:rPr>
        <w:sz w:val="16"/>
      </w:rPr>
      <w:t>学位（若在读请注明）</w:t>
    </w:r>
    <w:r>
      <w:rPr>
        <w:sz w:val="16"/>
      </w:rPr>
      <w:t>]</w:t>
    </w:r>
    <w:r>
      <w:rPr>
        <w:sz w:val="16"/>
      </w:rPr>
      <w:t>，研究方向：</w:t>
    </w:r>
    <w:r>
      <w:rPr>
        <w:sz w:val="16"/>
      </w:rPr>
      <w:t>[</w:t>
    </w:r>
    <w:r>
      <w:rPr>
        <w:sz w:val="16"/>
      </w:rPr>
      <w:t>方向</w:t>
    </w:r>
    <w:r>
      <w:rPr>
        <w:sz w:val="16"/>
      </w:rPr>
      <w:t>1]</w:t>
    </w:r>
    <w:r>
      <w:rPr>
        <w:sz w:val="16"/>
      </w:rPr>
      <w:t>；</w:t>
    </w:r>
    <w:r>
      <w:rPr>
        <w:sz w:val="16"/>
      </w:rPr>
      <w:t>[</w:t>
    </w:r>
    <w:r>
      <w:rPr>
        <w:sz w:val="16"/>
      </w:rPr>
      <w:t>方向</w:t>
    </w:r>
    <w:r>
      <w:rPr>
        <w:sz w:val="16"/>
      </w:rPr>
      <w:t>2]</w:t>
    </w:r>
    <w:r>
      <w:rPr>
        <w:sz w:val="16"/>
      </w:rPr>
      <w:t>，电子邮箱：</w:t>
    </w:r>
    <w:r>
      <w:rPr>
        <w:sz w:val="16"/>
      </w:rPr>
      <w:t>[</w:t>
    </w:r>
    <w:r>
      <w:rPr>
        <w:sz w:val="16"/>
      </w:rPr>
      <w:t>邮箱</w:t>
    </w:r>
    <w:r>
      <w:rPr>
        <w:sz w:val="16"/>
      </w:rPr>
      <w:t>]</w:t>
    </w:r>
    <w:r>
      <w:rPr>
        <w:sz w:val="16"/>
      </w:rPr>
      <w: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56A2D67" w14:textId="77777777" w:rsidR="00E407AF" w:rsidRDefault="00E407AF" w:rsidP="00F23B67">
      <w:r>
        <w:separator/>
      </w:r>
    </w:p>
  </w:footnote>
  <w:footnote w:type="continuationSeparator" w:id="0">
    <w:p w14:paraId="5084105F" w14:textId="77777777" w:rsidR="00E407AF" w:rsidRDefault="00E407AF" w:rsidP="00F23B67">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AAF2B7" w14:textId="77777777" w:rsidR="00F23B67" w:rsidRDefault="00F23B67">
    <w:pPr>
      <w:pStyle w:val="ae"/>
      <w:rPr>
        <w:rFonts w:hint="eastAsia"/>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zoom w:percent="110"/>
  <w:bordersDoNotSurroundHeader/>
  <w:bordersDoNotSurroundFooter/>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E5DC0"/>
    <w:rsid w:val="000376E3"/>
    <w:rsid w:val="00135816"/>
    <w:rsid w:val="00245F58"/>
    <w:rsid w:val="003341C1"/>
    <w:rsid w:val="0034143A"/>
    <w:rsid w:val="003B1B14"/>
    <w:rsid w:val="003E35DB"/>
    <w:rsid w:val="005032D3"/>
    <w:rsid w:val="006309B6"/>
    <w:rsid w:val="00662C25"/>
    <w:rsid w:val="00790E2F"/>
    <w:rsid w:val="009A3654"/>
    <w:rsid w:val="00B10182"/>
    <w:rsid w:val="00B14FA3"/>
    <w:rsid w:val="00B15C9D"/>
    <w:rsid w:val="00D21814"/>
    <w:rsid w:val="00D32DC3"/>
    <w:rsid w:val="00D53327"/>
    <w:rsid w:val="00D537D7"/>
    <w:rsid w:val="00DD4A44"/>
    <w:rsid w:val="00E407AF"/>
    <w:rsid w:val="00EE5DC0"/>
    <w:rsid w:val="00F071B1"/>
    <w:rsid w:val="00F23B67"/>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0AA87B8"/>
  <w15:chartTrackingRefBased/>
  <w15:docId w15:val="{FA7D5525-0EA2-4C2A-B76F-62076476891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2"/>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0"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23B67"/>
    <w:pPr>
      <w:widowControl w:val="0"/>
      <w:spacing w:after="0" w:line="240" w:lineRule="auto"/>
      <w:ind w:firstLine="420"/>
      <w:jc w:val="both"/>
    </w:pPr>
    <w:rPr>
      <w:rFonts w:ascii="Times New Roman" w:eastAsia="宋体" w:hAnsi="Times New Roman" w:cs="Times New Roman"/>
      <w:sz w:val="21"/>
      <w14:ligatures w14:val="none"/>
    </w:rPr>
  </w:style>
  <w:style w:type="paragraph" w:styleId="1">
    <w:name w:val="heading 1"/>
    <w:basedOn w:val="a"/>
    <w:next w:val="a"/>
    <w:link w:val="10"/>
    <w:uiPriority w:val="9"/>
    <w:qFormat/>
    <w:rsid w:val="00EE5DC0"/>
    <w:pPr>
      <w:keepNext/>
      <w:keepLines/>
      <w:spacing w:before="480" w:after="80" w:line="278" w:lineRule="auto"/>
      <w:ind w:firstLine="0"/>
      <w:jc w:val="left"/>
      <w:outlineLvl w:val="0"/>
    </w:pPr>
    <w:rPr>
      <w:rFonts w:asciiTheme="majorHAnsi" w:eastAsiaTheme="majorEastAsia" w:hAnsiTheme="majorHAnsi" w:cstheme="majorBidi"/>
      <w:color w:val="2F5496" w:themeColor="accent1" w:themeShade="BF"/>
      <w:sz w:val="48"/>
      <w:szCs w:val="48"/>
      <w14:ligatures w14:val="standardContextual"/>
    </w:rPr>
  </w:style>
  <w:style w:type="paragraph" w:styleId="2">
    <w:name w:val="heading 2"/>
    <w:basedOn w:val="a"/>
    <w:next w:val="a"/>
    <w:link w:val="20"/>
    <w:unhideWhenUsed/>
    <w:qFormat/>
    <w:rsid w:val="00EE5DC0"/>
    <w:pPr>
      <w:keepNext/>
      <w:keepLines/>
      <w:spacing w:before="160" w:after="80" w:line="278" w:lineRule="auto"/>
      <w:ind w:firstLine="0"/>
      <w:jc w:val="left"/>
      <w:outlineLvl w:val="1"/>
    </w:pPr>
    <w:rPr>
      <w:rFonts w:asciiTheme="majorHAnsi" w:eastAsiaTheme="majorEastAsia" w:hAnsiTheme="majorHAnsi" w:cstheme="majorBidi"/>
      <w:color w:val="2F5496" w:themeColor="accent1" w:themeShade="BF"/>
      <w:sz w:val="40"/>
      <w:szCs w:val="40"/>
      <w14:ligatures w14:val="standardContextual"/>
    </w:rPr>
  </w:style>
  <w:style w:type="paragraph" w:styleId="3">
    <w:name w:val="heading 3"/>
    <w:basedOn w:val="a"/>
    <w:next w:val="a"/>
    <w:link w:val="30"/>
    <w:uiPriority w:val="9"/>
    <w:semiHidden/>
    <w:unhideWhenUsed/>
    <w:qFormat/>
    <w:rsid w:val="00EE5DC0"/>
    <w:pPr>
      <w:keepNext/>
      <w:keepLines/>
      <w:spacing w:before="160" w:after="80" w:line="278" w:lineRule="auto"/>
      <w:ind w:firstLine="0"/>
      <w:jc w:val="left"/>
      <w:outlineLvl w:val="2"/>
    </w:pPr>
    <w:rPr>
      <w:rFonts w:asciiTheme="majorHAnsi" w:eastAsiaTheme="majorEastAsia" w:hAnsiTheme="majorHAnsi" w:cstheme="majorBidi"/>
      <w:color w:val="2F5496" w:themeColor="accent1" w:themeShade="BF"/>
      <w:sz w:val="32"/>
      <w:szCs w:val="32"/>
      <w14:ligatures w14:val="standardContextual"/>
    </w:rPr>
  </w:style>
  <w:style w:type="paragraph" w:styleId="4">
    <w:name w:val="heading 4"/>
    <w:basedOn w:val="a"/>
    <w:next w:val="a"/>
    <w:link w:val="40"/>
    <w:uiPriority w:val="9"/>
    <w:semiHidden/>
    <w:unhideWhenUsed/>
    <w:qFormat/>
    <w:rsid w:val="00EE5DC0"/>
    <w:pPr>
      <w:keepNext/>
      <w:keepLines/>
      <w:spacing w:before="80" w:after="40" w:line="278" w:lineRule="auto"/>
      <w:ind w:firstLine="0"/>
      <w:jc w:val="left"/>
      <w:outlineLvl w:val="3"/>
    </w:pPr>
    <w:rPr>
      <w:rFonts w:asciiTheme="minorHAnsi" w:eastAsiaTheme="minorEastAsia" w:hAnsiTheme="minorHAnsi" w:cstheme="majorBidi"/>
      <w:color w:val="2F5496" w:themeColor="accent1" w:themeShade="BF"/>
      <w:sz w:val="28"/>
      <w:szCs w:val="28"/>
      <w14:ligatures w14:val="standardContextual"/>
    </w:rPr>
  </w:style>
  <w:style w:type="paragraph" w:styleId="5">
    <w:name w:val="heading 5"/>
    <w:basedOn w:val="a"/>
    <w:next w:val="a"/>
    <w:link w:val="50"/>
    <w:uiPriority w:val="9"/>
    <w:semiHidden/>
    <w:unhideWhenUsed/>
    <w:qFormat/>
    <w:rsid w:val="00EE5DC0"/>
    <w:pPr>
      <w:keepNext/>
      <w:keepLines/>
      <w:spacing w:before="80" w:after="40" w:line="278" w:lineRule="auto"/>
      <w:ind w:firstLine="0"/>
      <w:jc w:val="left"/>
      <w:outlineLvl w:val="4"/>
    </w:pPr>
    <w:rPr>
      <w:rFonts w:asciiTheme="minorHAnsi" w:eastAsiaTheme="minorEastAsia" w:hAnsiTheme="minorHAnsi" w:cstheme="majorBidi"/>
      <w:color w:val="2F5496" w:themeColor="accent1" w:themeShade="BF"/>
      <w:sz w:val="24"/>
      <w14:ligatures w14:val="standardContextual"/>
    </w:rPr>
  </w:style>
  <w:style w:type="paragraph" w:styleId="6">
    <w:name w:val="heading 6"/>
    <w:basedOn w:val="a"/>
    <w:next w:val="a"/>
    <w:link w:val="60"/>
    <w:uiPriority w:val="9"/>
    <w:semiHidden/>
    <w:unhideWhenUsed/>
    <w:qFormat/>
    <w:rsid w:val="00EE5DC0"/>
    <w:pPr>
      <w:keepNext/>
      <w:keepLines/>
      <w:spacing w:before="40" w:line="278" w:lineRule="auto"/>
      <w:ind w:firstLine="0"/>
      <w:jc w:val="left"/>
      <w:outlineLvl w:val="5"/>
    </w:pPr>
    <w:rPr>
      <w:rFonts w:asciiTheme="minorHAnsi" w:eastAsiaTheme="minorEastAsia" w:hAnsiTheme="minorHAnsi" w:cstheme="majorBidi"/>
      <w:b/>
      <w:bCs/>
      <w:color w:val="2F5496" w:themeColor="accent1" w:themeShade="BF"/>
      <w:sz w:val="22"/>
      <w14:ligatures w14:val="standardContextual"/>
    </w:rPr>
  </w:style>
  <w:style w:type="paragraph" w:styleId="7">
    <w:name w:val="heading 7"/>
    <w:basedOn w:val="a"/>
    <w:next w:val="a"/>
    <w:link w:val="70"/>
    <w:uiPriority w:val="9"/>
    <w:semiHidden/>
    <w:unhideWhenUsed/>
    <w:qFormat/>
    <w:rsid w:val="00EE5DC0"/>
    <w:pPr>
      <w:keepNext/>
      <w:keepLines/>
      <w:spacing w:before="40" w:line="278" w:lineRule="auto"/>
      <w:ind w:firstLine="0"/>
      <w:jc w:val="left"/>
      <w:outlineLvl w:val="6"/>
    </w:pPr>
    <w:rPr>
      <w:rFonts w:asciiTheme="minorHAnsi" w:eastAsiaTheme="minorEastAsia" w:hAnsiTheme="minorHAnsi" w:cstheme="majorBidi"/>
      <w:b/>
      <w:bCs/>
      <w:color w:val="595959" w:themeColor="text1" w:themeTint="A6"/>
      <w:sz w:val="22"/>
      <w14:ligatures w14:val="standardContextual"/>
    </w:rPr>
  </w:style>
  <w:style w:type="paragraph" w:styleId="8">
    <w:name w:val="heading 8"/>
    <w:basedOn w:val="a"/>
    <w:next w:val="a"/>
    <w:link w:val="80"/>
    <w:uiPriority w:val="9"/>
    <w:semiHidden/>
    <w:unhideWhenUsed/>
    <w:qFormat/>
    <w:rsid w:val="00EE5DC0"/>
    <w:pPr>
      <w:keepNext/>
      <w:keepLines/>
      <w:spacing w:line="278" w:lineRule="auto"/>
      <w:ind w:firstLine="0"/>
      <w:jc w:val="left"/>
      <w:outlineLvl w:val="7"/>
    </w:pPr>
    <w:rPr>
      <w:rFonts w:asciiTheme="minorHAnsi" w:eastAsiaTheme="minorEastAsia" w:hAnsiTheme="minorHAnsi" w:cstheme="majorBidi"/>
      <w:color w:val="595959" w:themeColor="text1" w:themeTint="A6"/>
      <w:sz w:val="22"/>
      <w14:ligatures w14:val="standardContextual"/>
    </w:rPr>
  </w:style>
  <w:style w:type="paragraph" w:styleId="9">
    <w:name w:val="heading 9"/>
    <w:basedOn w:val="a"/>
    <w:next w:val="a"/>
    <w:link w:val="90"/>
    <w:uiPriority w:val="9"/>
    <w:semiHidden/>
    <w:unhideWhenUsed/>
    <w:qFormat/>
    <w:rsid w:val="00EE5DC0"/>
    <w:pPr>
      <w:keepNext/>
      <w:keepLines/>
      <w:spacing w:line="278" w:lineRule="auto"/>
      <w:ind w:firstLine="0"/>
      <w:jc w:val="left"/>
      <w:outlineLvl w:val="8"/>
    </w:pPr>
    <w:rPr>
      <w:rFonts w:asciiTheme="minorHAnsi" w:eastAsiaTheme="majorEastAsia" w:hAnsiTheme="minorHAnsi" w:cstheme="majorBidi"/>
      <w:color w:val="595959" w:themeColor="text1" w:themeTint="A6"/>
      <w:sz w:val="22"/>
      <w14:ligatures w14:val="standardContextual"/>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EE5DC0"/>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rsid w:val="00EE5DC0"/>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EE5DC0"/>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EE5DC0"/>
    <w:rPr>
      <w:rFonts w:cstheme="majorBidi"/>
      <w:color w:val="2F5496" w:themeColor="accent1" w:themeShade="BF"/>
      <w:sz w:val="28"/>
      <w:szCs w:val="28"/>
    </w:rPr>
  </w:style>
  <w:style w:type="character" w:customStyle="1" w:styleId="50">
    <w:name w:val="标题 5 字符"/>
    <w:basedOn w:val="a0"/>
    <w:link w:val="5"/>
    <w:uiPriority w:val="9"/>
    <w:semiHidden/>
    <w:rsid w:val="00EE5DC0"/>
    <w:rPr>
      <w:rFonts w:cstheme="majorBidi"/>
      <w:color w:val="2F5496" w:themeColor="accent1" w:themeShade="BF"/>
      <w:sz w:val="24"/>
    </w:rPr>
  </w:style>
  <w:style w:type="character" w:customStyle="1" w:styleId="60">
    <w:name w:val="标题 6 字符"/>
    <w:basedOn w:val="a0"/>
    <w:link w:val="6"/>
    <w:uiPriority w:val="9"/>
    <w:semiHidden/>
    <w:rsid w:val="00EE5DC0"/>
    <w:rPr>
      <w:rFonts w:cstheme="majorBidi"/>
      <w:b/>
      <w:bCs/>
      <w:color w:val="2F5496" w:themeColor="accent1" w:themeShade="BF"/>
    </w:rPr>
  </w:style>
  <w:style w:type="character" w:customStyle="1" w:styleId="70">
    <w:name w:val="标题 7 字符"/>
    <w:basedOn w:val="a0"/>
    <w:link w:val="7"/>
    <w:uiPriority w:val="9"/>
    <w:semiHidden/>
    <w:rsid w:val="00EE5DC0"/>
    <w:rPr>
      <w:rFonts w:cstheme="majorBidi"/>
      <w:b/>
      <w:bCs/>
      <w:color w:val="595959" w:themeColor="text1" w:themeTint="A6"/>
    </w:rPr>
  </w:style>
  <w:style w:type="character" w:customStyle="1" w:styleId="80">
    <w:name w:val="标题 8 字符"/>
    <w:basedOn w:val="a0"/>
    <w:link w:val="8"/>
    <w:uiPriority w:val="9"/>
    <w:semiHidden/>
    <w:rsid w:val="00EE5DC0"/>
    <w:rPr>
      <w:rFonts w:cstheme="majorBidi"/>
      <w:color w:val="595959" w:themeColor="text1" w:themeTint="A6"/>
    </w:rPr>
  </w:style>
  <w:style w:type="character" w:customStyle="1" w:styleId="90">
    <w:name w:val="标题 9 字符"/>
    <w:basedOn w:val="a0"/>
    <w:link w:val="9"/>
    <w:uiPriority w:val="9"/>
    <w:semiHidden/>
    <w:rsid w:val="00EE5DC0"/>
    <w:rPr>
      <w:rFonts w:eastAsiaTheme="majorEastAsia" w:cstheme="majorBidi"/>
      <w:color w:val="595959" w:themeColor="text1" w:themeTint="A6"/>
    </w:rPr>
  </w:style>
  <w:style w:type="paragraph" w:styleId="a3">
    <w:name w:val="Title"/>
    <w:basedOn w:val="a"/>
    <w:next w:val="a"/>
    <w:link w:val="a4"/>
    <w:uiPriority w:val="10"/>
    <w:qFormat/>
    <w:rsid w:val="00EE5DC0"/>
    <w:pPr>
      <w:spacing w:after="80"/>
      <w:ind w:firstLine="0"/>
      <w:contextualSpacing/>
      <w:jc w:val="center"/>
    </w:pPr>
    <w:rPr>
      <w:rFonts w:asciiTheme="majorHAnsi" w:eastAsiaTheme="majorEastAsia" w:hAnsiTheme="majorHAnsi" w:cstheme="majorBidi"/>
      <w:spacing w:val="-10"/>
      <w:kern w:val="28"/>
      <w:sz w:val="56"/>
      <w:szCs w:val="56"/>
      <w14:ligatures w14:val="standardContextual"/>
    </w:rPr>
  </w:style>
  <w:style w:type="character" w:customStyle="1" w:styleId="a4">
    <w:name w:val="标题 字符"/>
    <w:basedOn w:val="a0"/>
    <w:link w:val="a3"/>
    <w:uiPriority w:val="10"/>
    <w:rsid w:val="00EE5DC0"/>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E5DC0"/>
    <w:pPr>
      <w:numPr>
        <w:ilvl w:val="1"/>
      </w:numPr>
      <w:spacing w:after="160" w:line="278" w:lineRule="auto"/>
      <w:ind w:firstLine="420"/>
      <w:jc w:val="center"/>
    </w:pPr>
    <w:rPr>
      <w:rFonts w:asciiTheme="majorHAnsi" w:eastAsiaTheme="majorEastAsia" w:hAnsiTheme="majorHAnsi" w:cstheme="majorBidi"/>
      <w:color w:val="595959" w:themeColor="text1" w:themeTint="A6"/>
      <w:spacing w:val="15"/>
      <w:sz w:val="28"/>
      <w:szCs w:val="28"/>
      <w14:ligatures w14:val="standardContextual"/>
    </w:rPr>
  </w:style>
  <w:style w:type="character" w:customStyle="1" w:styleId="a6">
    <w:name w:val="副标题 字符"/>
    <w:basedOn w:val="a0"/>
    <w:link w:val="a5"/>
    <w:uiPriority w:val="11"/>
    <w:rsid w:val="00EE5DC0"/>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E5DC0"/>
    <w:pPr>
      <w:spacing w:before="160" w:after="160" w:line="278" w:lineRule="auto"/>
      <w:ind w:firstLine="0"/>
      <w:jc w:val="center"/>
    </w:pPr>
    <w:rPr>
      <w:rFonts w:asciiTheme="minorHAnsi" w:eastAsiaTheme="minorEastAsia" w:hAnsiTheme="minorHAnsi" w:cstheme="minorBidi"/>
      <w:i/>
      <w:iCs/>
      <w:color w:val="404040" w:themeColor="text1" w:themeTint="BF"/>
      <w:sz w:val="22"/>
      <w14:ligatures w14:val="standardContextual"/>
    </w:rPr>
  </w:style>
  <w:style w:type="character" w:customStyle="1" w:styleId="a8">
    <w:name w:val="引用 字符"/>
    <w:basedOn w:val="a0"/>
    <w:link w:val="a7"/>
    <w:uiPriority w:val="29"/>
    <w:rsid w:val="00EE5DC0"/>
    <w:rPr>
      <w:i/>
      <w:iCs/>
      <w:color w:val="404040" w:themeColor="text1" w:themeTint="BF"/>
    </w:rPr>
  </w:style>
  <w:style w:type="paragraph" w:styleId="a9">
    <w:name w:val="List Paragraph"/>
    <w:basedOn w:val="a"/>
    <w:uiPriority w:val="34"/>
    <w:qFormat/>
    <w:rsid w:val="00EE5DC0"/>
    <w:pPr>
      <w:spacing w:after="160" w:line="278" w:lineRule="auto"/>
      <w:ind w:left="720" w:firstLine="0"/>
      <w:contextualSpacing/>
      <w:jc w:val="left"/>
    </w:pPr>
    <w:rPr>
      <w:rFonts w:asciiTheme="minorHAnsi" w:eastAsiaTheme="minorEastAsia" w:hAnsiTheme="minorHAnsi" w:cstheme="minorBidi"/>
      <w:sz w:val="22"/>
      <w14:ligatures w14:val="standardContextual"/>
    </w:rPr>
  </w:style>
  <w:style w:type="character" w:styleId="aa">
    <w:name w:val="Intense Emphasis"/>
    <w:basedOn w:val="a0"/>
    <w:uiPriority w:val="21"/>
    <w:qFormat/>
    <w:rsid w:val="00EE5DC0"/>
    <w:rPr>
      <w:i/>
      <w:iCs/>
      <w:color w:val="2F5496" w:themeColor="accent1" w:themeShade="BF"/>
    </w:rPr>
  </w:style>
  <w:style w:type="paragraph" w:styleId="ab">
    <w:name w:val="Intense Quote"/>
    <w:basedOn w:val="a"/>
    <w:next w:val="a"/>
    <w:link w:val="ac"/>
    <w:uiPriority w:val="30"/>
    <w:qFormat/>
    <w:rsid w:val="00EE5DC0"/>
    <w:pPr>
      <w:pBdr>
        <w:top w:val="single" w:sz="4" w:space="10" w:color="2F5496" w:themeColor="accent1" w:themeShade="BF"/>
        <w:bottom w:val="single" w:sz="4" w:space="10" w:color="2F5496" w:themeColor="accent1" w:themeShade="BF"/>
      </w:pBdr>
      <w:spacing w:before="360" w:after="360" w:line="278" w:lineRule="auto"/>
      <w:ind w:left="864" w:right="864" w:firstLine="0"/>
      <w:jc w:val="center"/>
    </w:pPr>
    <w:rPr>
      <w:rFonts w:asciiTheme="minorHAnsi" w:eastAsiaTheme="minorEastAsia" w:hAnsiTheme="minorHAnsi" w:cstheme="minorBidi"/>
      <w:i/>
      <w:iCs/>
      <w:color w:val="2F5496" w:themeColor="accent1" w:themeShade="BF"/>
      <w:sz w:val="22"/>
      <w14:ligatures w14:val="standardContextual"/>
    </w:rPr>
  </w:style>
  <w:style w:type="character" w:customStyle="1" w:styleId="ac">
    <w:name w:val="明显引用 字符"/>
    <w:basedOn w:val="a0"/>
    <w:link w:val="ab"/>
    <w:uiPriority w:val="30"/>
    <w:rsid w:val="00EE5DC0"/>
    <w:rPr>
      <w:i/>
      <w:iCs/>
      <w:color w:val="2F5496" w:themeColor="accent1" w:themeShade="BF"/>
    </w:rPr>
  </w:style>
  <w:style w:type="character" w:styleId="ad">
    <w:name w:val="Intense Reference"/>
    <w:basedOn w:val="a0"/>
    <w:uiPriority w:val="32"/>
    <w:qFormat/>
    <w:rsid w:val="00EE5DC0"/>
    <w:rPr>
      <w:b/>
      <w:bCs/>
      <w:smallCaps/>
      <w:color w:val="2F5496" w:themeColor="accent1" w:themeShade="BF"/>
      <w:spacing w:val="5"/>
    </w:rPr>
  </w:style>
  <w:style w:type="paragraph" w:styleId="ae">
    <w:name w:val="header"/>
    <w:basedOn w:val="a"/>
    <w:link w:val="af"/>
    <w:unhideWhenUsed/>
    <w:rsid w:val="00F23B67"/>
    <w:pPr>
      <w:tabs>
        <w:tab w:val="center" w:pos="4153"/>
        <w:tab w:val="right" w:pos="8306"/>
      </w:tabs>
      <w:snapToGrid w:val="0"/>
      <w:spacing w:after="160"/>
      <w:ind w:firstLine="0"/>
      <w:jc w:val="center"/>
    </w:pPr>
    <w:rPr>
      <w:rFonts w:asciiTheme="minorHAnsi" w:eastAsiaTheme="minorEastAsia" w:hAnsiTheme="minorHAnsi" w:cstheme="minorBidi"/>
      <w:sz w:val="18"/>
      <w:szCs w:val="18"/>
      <w14:ligatures w14:val="standardContextual"/>
    </w:rPr>
  </w:style>
  <w:style w:type="character" w:customStyle="1" w:styleId="af">
    <w:name w:val="页眉 字符"/>
    <w:basedOn w:val="a0"/>
    <w:link w:val="ae"/>
    <w:rsid w:val="00F23B67"/>
    <w:rPr>
      <w:sz w:val="18"/>
      <w:szCs w:val="18"/>
    </w:rPr>
  </w:style>
  <w:style w:type="paragraph" w:styleId="af0">
    <w:name w:val="footer"/>
    <w:basedOn w:val="a"/>
    <w:link w:val="af1"/>
    <w:uiPriority w:val="99"/>
    <w:unhideWhenUsed/>
    <w:rsid w:val="00F23B67"/>
    <w:pPr>
      <w:tabs>
        <w:tab w:val="center" w:pos="4153"/>
        <w:tab w:val="right" w:pos="8306"/>
      </w:tabs>
      <w:snapToGrid w:val="0"/>
      <w:spacing w:after="160"/>
      <w:ind w:firstLine="0"/>
      <w:jc w:val="left"/>
    </w:pPr>
    <w:rPr>
      <w:rFonts w:asciiTheme="minorHAnsi" w:eastAsiaTheme="minorEastAsia" w:hAnsiTheme="minorHAnsi" w:cstheme="minorBidi"/>
      <w:sz w:val="18"/>
      <w:szCs w:val="18"/>
      <w14:ligatures w14:val="standardContextual"/>
    </w:rPr>
  </w:style>
  <w:style w:type="character" w:customStyle="1" w:styleId="af1">
    <w:name w:val="页脚 字符"/>
    <w:basedOn w:val="a0"/>
    <w:link w:val="af0"/>
    <w:uiPriority w:val="99"/>
    <w:rsid w:val="00F23B67"/>
    <w:rPr>
      <w:sz w:val="18"/>
      <w:szCs w:val="18"/>
    </w:rPr>
  </w:style>
  <w:style w:type="paragraph" w:customStyle="1" w:styleId="11">
    <w:name w:val="标题 11"/>
    <w:rsid w:val="00F23B67"/>
    <w:pPr>
      <w:keepNext/>
      <w:spacing w:before="120" w:after="40" w:line="240" w:lineRule="auto"/>
    </w:pPr>
    <w:rPr>
      <w:rFonts w:ascii="Times New Roman" w:eastAsia="黑体" w:hAnsi="Times New Roman" w:cs="Times New Roman"/>
      <w:b/>
      <w:kern w:val="0"/>
      <w:sz w:val="28"/>
      <w:szCs w:val="20"/>
      <w14:ligatures w14:val="none"/>
    </w:rPr>
  </w:style>
  <w:style w:type="paragraph" w:customStyle="1" w:styleId="Equation">
    <w:name w:val="Equation"/>
    <w:rsid w:val="00F23B67"/>
    <w:pPr>
      <w:keepLines/>
      <w:spacing w:before="40" w:after="40" w:line="240" w:lineRule="auto"/>
    </w:pPr>
    <w:rPr>
      <w:rFonts w:ascii="Cambria Math" w:eastAsia="Cambria Math" w:hAnsi="Cambria Math" w:cs="Times New Roman"/>
      <w:kern w:val="0"/>
      <w:sz w:val="21"/>
      <w:szCs w:val="2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3" Type="http://schemas.openxmlformats.org/officeDocument/2006/relationships/webSettings" Target="webSettings.xml"/><Relationship Id="rId7" Type="http://schemas.openxmlformats.org/officeDocument/2006/relationships/image" Target="media/image2.png"/><Relationship Id="rId12"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image" Target="media/image1.png"/><Relationship Id="rId11" Type="http://schemas.openxmlformats.org/officeDocument/2006/relationships/fontTable" Target="fontTable.xml"/><Relationship Id="rId5" Type="http://schemas.openxmlformats.org/officeDocument/2006/relationships/endnotes" Target="endnotes.xml"/><Relationship Id="rId10" Type="http://schemas.openxmlformats.org/officeDocument/2006/relationships/footer" Target="footer1.xml"/><Relationship Id="rId4" Type="http://schemas.openxmlformats.org/officeDocument/2006/relationships/footnotes" Target="footnotes.xml"/><Relationship Id="rId9" Type="http://schemas.openxmlformats.org/officeDocument/2006/relationships/header" Target="header1.xml"/><Relationship Id="rId13" Type="http://schemas.openxmlformats.org/officeDocument/2006/relationships/image" Target="media/image4.png"/><Relationship Id="rId14" Type="http://schemas.openxmlformats.org/officeDocument/2006/relationships/image" Target="media/image5.png"/><Relationship Id="rId15" Type="http://schemas.openxmlformats.org/officeDocument/2006/relationships/image" Target="media/image6.png"/><Relationship Id="rId16" Type="http://schemas.openxmlformats.org/officeDocument/2006/relationships/image" Target="media/image7.png"/><Relationship Id="rId17" Type="http://schemas.openxmlformats.org/officeDocument/2006/relationships/image" Target="media/image8.png"/><Relationship Id="rId18" Type="http://schemas.openxmlformats.org/officeDocument/2006/relationships/image" Target="media/image9.png"/><Relationship Id="rId19" Type="http://schemas.openxmlformats.org/officeDocument/2006/relationships/image" Target="media/image10.png"/><Relationship Id="rId20" Type="http://schemas.openxmlformats.org/officeDocument/2006/relationships/image" Target="media/image11.png"/><Relationship Id="rId21" Type="http://schemas.openxmlformats.org/officeDocument/2006/relationships/image" Target="media/image12.png"/><Relationship Id="rId22" Type="http://schemas.openxmlformats.org/officeDocument/2006/relationships/image" Target="media/image13.png"/><Relationship Id="rId23" Type="http://schemas.openxmlformats.org/officeDocument/2006/relationships/image" Target="media/image14.png"/><Relationship Id="rId24" Type="http://schemas.openxmlformats.org/officeDocument/2006/relationships/image" Target="media/image15.png"/><Relationship Id="rId25" Type="http://schemas.openxmlformats.org/officeDocument/2006/relationships/image" Target="media/image16.png"/><Relationship Id="rId26" Type="http://schemas.openxmlformats.org/officeDocument/2006/relationships/image" Target="media/image17.png"/><Relationship Id="rId27" Type="http://schemas.openxmlformats.org/officeDocument/2006/relationships/image" Target="media/image18.png"/><Relationship Id="rId28" Type="http://schemas.openxmlformats.org/officeDocument/2006/relationships/image" Target="media/image19.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481</TotalTime>
  <Pages>4</Pages>
  <Words>1601</Words>
  <Characters>9127</Characters>
  <Application>Microsoft Office Word</Application>
  <DocSecurity>0</DocSecurity>
  <Lines>76</Lines>
  <Paragraphs>21</Paragraphs>
  <ScaleCrop>false</ScaleCrop>
  <Company/>
  <LinksUpToDate>false</LinksUpToDate>
  <CharactersWithSpaces>10707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Alice Wonderland</dc:creator>
  <cp:keywords/>
  <dc:description/>
  <cp:lastModifiedBy>Alice Wonderland</cp:lastModifiedBy>
  <cp:revision>1</cp:revision>
  <dcterms:created xsi:type="dcterms:W3CDTF">2026-09-15T14:23:00Z</dcterms:created>
  <dcterms:modified xsi:type="dcterms:W3CDTF">2026-09-20T12:33:00Z</dcterms:modified>
</cp:coreProperties>
</file>