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同时包含短时起伏与较慢趋势，单一时间分辨率难以兼顾。本文采用尺度1、2和4的DLinear专家，并由输入窗口统计量驱动的轻量路由网络计算Softmax融合权重。在输入长度96、预测长度24的Abilene和GÉANT实验中，3个共同随机种子下本文方法相对DLinear的MSE分别降低4.07%和4.54%，相对LightTS分别降低29.80%和46.89%。8个随机种子的核心消融加入全局可学习权重和恒定输入路由两类固定权重对照；本文方法相对两者在Abilene上的逐种子平均MSE改进率均约为1.80%，在GÉANT上分别为4.31%和4.97%。GÉANT的两项配对95%置信区间均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traffic contains both short-term fluctuations and slower trends. We combine DLinear experts at scales 1, 2, and 4 using Softmax weights generated from input-window statistics. With input length 96 and forecast length 24, the method reduces MSE on Abilene and GÉANT relative to DLinear by 4.07% and 4.54%, and relative to LightTS by 29.80% and 46.89%, over three common random seeds. An eight-seed ablation adds two fixed-weight controls: learned global weights and a router receiving constant input. The adaptive model reduces mean seed-wise MSE over both controls by about 1.80% on Abilene, and by 4.31% and 4.97%, respectively, on GÉANT. Both paired 95% confidence intervals on GÉANT include zero, and most of its pooled router-weight variance arises between seeds. Thus, the observed average error reduction does not yet establish reliable window-specific scale selection.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骨干网络中的源—目的节点对（origin-destination，OD）流量直接反映不同节点对之间的通信需求。随着云计算、视频业务、数据中心互联及智能网络应用持续增加，业务在网络内部的迁移和聚集更加频繁，OD流量的时间变化也更复杂。容量规划、拥塞预警、资源调度和流量工程都需要对后续流量状态作出判断，提前获得后一时段的OD流量估计有助于网络管理系统预先调整资源。与较平稳的单变量序列相比，OD流量中往往同时存在周期变化、局部波动和突发变化，不同OD变量的数值范围也有明显差异，因此预测模型既要描述较长时间范围内的变化趋势，也要保留对短时状态变化的响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预测已经从传统统计模型逐步扩展到机器学习和深度学习方法。Lohrasbinasab等[1]对相关方法进行了系统梳理，并指出数据驱动方法在复杂流量预测中的应用不断增加。网络规模扩大后，仅分析单一序列的时间变化已不足以覆盖OD变量之间的关联。Qin等[2]把图神经网络引入通信网络流量预测，在同一模型中处理空间关联和时间依赖；韦烜等[10]针对大型IP网络流量矩阵开展分析与预测，讨论了不同OD变量之间的关联及其时间变化。唐文杰等[11]则在CycleLLH模型中引入周期性信息。现有工作已经涉及时间依赖、变量关联和周期结构等多个方面，也为进一步分析不同时间分辨率下的流量变化提供了基础。</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同一段网络流量在不同时间分辨率下呈现的特征并不一致。原始分辨率保留更多局部细节，短时起伏表现得更明显；时间聚合会削弱部分局部扰动，使较慢的变化趋势更容易观察。Zhou等[3]利用深度回声状态网络进行多尺度网络流量预测，通过不同时间分辨率提取互补信息。另一方面，模型结构开销也需要考虑。DLinear[4]采用时间序列分解和线性映射完成预测；TimeMixer[5]利用多尺度混合机制处理不同分辨率序列；LightTS[6]采用采样导向的MLP结构进行快速多变量时间序列预测。本文在这些工作的基础上，把关注点放在多时间尺度信息的利用与模型规模控制之间的平衡。</w:t>
      </w:r>
    </w:p>
    <w:p w14:paraId="65582279" w14:textId="77777777" w:rsidR="00B14FA3" w:rsidRPr="00B14FA3" w:rsidRDefault="00B14FA3" w:rsidP="00B14FA3">
      <w:pPr>
        <w:rPr>
          <w:color w:val="000000"/>
        </w:rPr>
      </w:pPr>
      <w:r>
        <w:rPr>
          <w:color w:val="000000"/>
          <w:szCs w:val="21"/>
        </w:rPr>
        <w:t>多尺度方法通常先给定若干时间尺度，再把各尺度结果按既定方式融合。问题在于，不同输入窗口的流量状态并不相同：某些窗口以短时波动为主，另一些窗口则表现为更平缓的趋势。输入状态变化时，尺度1、2和4对预测的作用也可能发生变化。只使用单一尺度会舍弃其他时间分辨率的信息，而长期采用固定融合比例又难以体现窗口之间的状态差异。基于这一现象，本文不仅构造多个时间尺度，还让各尺度在最终预测中的参与程度随当前输入样本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本文采用样本级自适应多尺度结构处理上述问题。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并设置DLinear、LightTS、固定等权、全局可学习固定权重与恒定输入路由模型、多个随机种子重复实验和路由权重分析，用于检验预测误差、核心结构消融和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方法把多尺度预测和尺度选择分成两个模块：尺度1、2和4的输入分别交给独立DLinear专家，路由网络根据当前窗口的统计特征估计3个尺度的融合权重。原始OD流量先进行对数变换和标准化，再形成3个时间分辨率的输入序列；3个专家得到候选预测后，由样本级权重完成融合。固定等权、全局可学习权重与恒定输入路由对照保留相同的尺度和专家，用于分别比较等权、全局非等权与输入相关融合的结果。</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pPr/>
      <w:r>
        <w:t>三个时间尺度保留的信息并不相同。原始尺度包含更多局部变化，较粗尺度经过时间聚合后削弱部分短时扰动，更突出较慢的变化趋势。只使用一个尺度会舍弃其他分辨率的信息；长期采用固定比例又不能随输入窗口变化。本文保留3个尺度的独立预测，再由路由网络确定每个样本的组合比例。DLinear结构较简洁，可在控制模型规模的同时承担各尺度的预测任务，使实验重点落在多尺度输入和样本级融合本身。</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记预处理后的多变量流量序列为 xt∈RC，其中t表示时间索引，C表示有效OD变量数。连续序列按时间滑动后形成监督学习样本。第n个样本包含历史窗口Xn和预测目标Yn：Xn覆盖连续L个时间点，Yn为紧随其后的H个时间点。模型据此利用多个OD变量过去L步的联合变化估计未来H步取值。第n个样本对应的输入与目标定义为</w:t>
      </w:r>
      <w:r>
        <w:rPr>
          <w:szCs w:val="21"/>
        </w:rPr>
      </w:r>
      <w:r>
        <w:rPr>
          <w:i/>
          <w:iCs/>
          <w:szCs w:val="21"/>
        </w:rPr>
      </w:r>
      <w:r>
        <w:rPr>
          <w:i/>
          <w:iCs/>
          <w:szCs w:val="21"/>
          <w:vertAlign w:val="subscript"/>
        </w:rPr>
      </w:r>
      <w:r>
        <w:rPr>
          <w:szCs w:val="21"/>
        </w:rPr>
      </w:r>
      <w:r>
        <w:rPr>
          <w:i/>
          <w:iCs/>
          <w:szCs w:val="21"/>
        </w:rPr>
      </w:r>
      <w:r>
        <w:rPr>
          <w:i/>
          <w:iCs/>
          <w:szCs w:val="21"/>
          <w:vertAlign w:val="superscript"/>
        </w:rPr>
      </w:r>
      <w:r>
        <w:rPr>
          <w:szCs w:val="21"/>
        </w:rPr>
      </w:r>
      <w:r>
        <w:rPr>
          <w:i/>
          <w:iCs/>
          <w:szCs w:val="21"/>
        </w:rPr>
      </w:r>
      <w:r>
        <w:rPr>
          <w:szCs w:val="21"/>
        </w:rPr>
      </w:r>
      <w:r>
        <w:rPr>
          <w:i/>
          <w:iCs/>
          <w:szCs w:val="21"/>
        </w:rPr>
      </w:r>
      <w:r>
        <w:rPr>
          <w:szCs w:val="21"/>
        </w:rPr>
      </w:r>
      <w:r>
        <w:rPr>
          <w:szCs w:val="21"/>
        </w:rPr>
      </w:r>
      <w:r>
        <w:rPr>
          <w:szCs w:val="21"/>
        </w:rPr>
      </w:r>
      <w:r>
        <w:rPr>
          <w:i/>
          <w:iCs/>
          <w:szCs w:val="21"/>
        </w:rPr>
      </w:r>
      <w:r>
        <w:rPr>
          <w:szCs w:val="21"/>
        </w:rPr>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设置输入长度L=96、预测长度H=24，变量数C由各数据集保留的有效OD维度确定，学习映射记为Ŷn=fθ(Xn)。L对应一次预测所使用的历史范围，H表示需要连续预测的未来长度。原始OD流量均为非负值，而且不同OD变量之间的量级差异较大。若直接以原始数值训练，较大范围的变量会使各维数据处在不一致的数值尺度上，因此先对原始流量vt,c作对数变换</w:t>
      </w:r>
      <w:r>
        <w:rPr>
          <w:i/>
          <w:iCs/>
          <w:szCs w:val="21"/>
        </w:rPr>
      </w:r>
      <w:r>
        <w:rPr>
          <w:szCs w:val="21"/>
        </w:rPr>
      </w:r>
      <w:r>
        <w:rPr>
          <w:szCs w:val="21"/>
        </w:rPr>
      </w:r>
      <w:r>
        <w:rPr>
          <w:i/>
          <w:iCs/>
          <w:szCs w:val="21"/>
        </w:rPr>
      </w:r>
      <w:r>
        <w:rPr>
          <w:szCs w:val="21"/>
        </w:rPr>
      </w:r>
      <w:r>
        <w:rPr>
          <w:szCs w:val="21"/>
        </w:rPr>
      </w:r>
      <w:r>
        <w:rPr>
          <w:i/>
          <w:iCs/>
          <w:szCs w:val="21"/>
        </w:rPr>
      </w:r>
      <w:r>
        <w:rPr>
          <w:szCs w:val="21"/>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b/>
          <w:bCs/>
          <w:i/>
          <w:iCs/>
          <w:szCs w:val="21"/>
        </w:rPr>
      </w:r>
      <w:r>
        <w:rPr>
          <w:i/>
          <w:iCs/>
          <w:szCs w:val="21"/>
          <w:vertAlign w:val="subscript"/>
        </w:rPr>
      </w:r>
      <w:r>
        <w:rPr>
          <w:szCs w:val="21"/>
        </w:rPr>
      </w:r>
      <w:r>
        <w:rPr>
          <w:szCs w:val="21"/>
        </w:rPr>
      </w:r>
      <w:r>
        <w:rPr>
          <w:i/>
          <w:iCs/>
          <w:szCs w:val="21"/>
        </w:rPr>
      </w:r>
      <w:r>
        <w:rPr>
          <w:i/>
          <w:iCs/>
          <w:szCs w:val="21"/>
          <w:vertAlign w:val="subscript"/>
        </w:rPr>
      </w:r>
      <w:r>
        <w:rPr>
          <w:szCs w:val="21"/>
        </w:rPr>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分别为第c个OD变量在训练集上的均值和标准差，验证集和测试集均使用训练阶段得到的统计量。log(1+x)先压缩非负流量的数值范围，同时保留流量大小关系；随后按变量标准化，使不同OD维度在相近的数值尺度上参与训练。前一步主要缓和原始流量的量级差异，后一步用于统一各变量参与损失计算和参数更新时的尺度。数据仍按时间顺序以6∶2∶2划分为训练集、验证集和测试集，各集合内部独立生成滑动窗口，避免窗口跨越不同数据划分边界。</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pPr/>
      <w:r>
        <w:t>经过上述处理后，每个输入样本仍保持原始时间分辨率。为了让后续专家同时观察细粒度变化和较平滑的趋势，需要进一步从同一历史窗口构造不同时间尺度的表示。</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尺度集合采用1、2和4，主要是为了在96步历史窗口内形成三个层次清晰且长度均为整数的时间分辨率，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尺度1、2和4分别配置一个DLinear专家[4]，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从而保持分解前后的时间长度一致：</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i/>
          <w:iCs/>
          <w:szCs w:val="21"/>
        </w:rPr>
      </w:r>
      <w:r w:rsidRPr="00B14FA3">
        <w:rPr>
          <w:szCs w:val="21"/>
        </w:rPr>
      </w:r>
      <w:r w:rsidRPr="00B14FA3">
        <w:rPr>
          <w:szCs w:val="21"/>
        </w:rPr>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由式（6）和式（7）可得到尺度s上的趋势项T(s)和余项R(s)。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r w:rsidRPr="00B14FA3">
        <w:rPr>
          <w:szCs w:val="21"/>
        </w:rPr>
      </w:r>
      <w:r w:rsidRPr="00B14FA3">
        <w:rPr>
          <w:szCs w:val="21"/>
        </w:rPr>
      </w:r>
      <w:r w:rsidRPr="00B14FA3">
        <w:rPr>
          <w:szCs w:val="21"/>
        </w:rPr>
      </w:r>
      <w:r w:rsidRPr="00B14FA3">
        <w:rPr>
          <w:szCs w:val="21"/>
        </w:rPr>
      </w:r>
      <w:r w:rsidRPr="00B14FA3">
        <w:rPr>
          <w:szCs w:val="21"/>
        </w:rPr>
      </w:r>
    </w:p>
    <w:p>
      <w:pPr/>
      <w:r>
        <w:t>采用DLinear作为尺度专家，主要是为了把预测主干与尺度融合的影响区分开。本文需要比较单尺度预测、固定等权、全局可学习固定权重和样本级路由四种设置；若尺度专家本身过于复杂，误差变化会同时受到主干结构和融合机制影响。DLinear参数关系清晰，在保持基本预测能力的同时，更适合作为统一的尺度专家。</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3个DLinear专家会针对同一样本给出3组预测结果，随后需要确定它们在最终输出中的占比。若始终令3个尺度均取1/3，就等价于假设所有输入窗口具有相同的尺度需求。但实际窗口的状态存在差别：局部波动较强时，细粒度信息可能更重要；变化较平稳时，较粗尺度中的趋势信息可能更有价值。为使融合比例能够随样本变化，本文从原始输入Xn提取四维统计向量zn=[μn,σn,ℓn,dn]，用这些统计量描述当前窗口状态，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描述输入窗口的总体水平、离散程度、最近状态和平均变化强度。μn反映窗口整体流量水平，σn刻画观测值的离散程度，ℓn取窗口末时刻的平均状态，dn由相邻时间点的一阶变化得到。这4个统计量分别提供水平、波动、最近状态和局部变化信息，供路由器计算输入相关的尺度权重，而不直接参与未来流量数值的预测。</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pPr/>
      <w:r>
        <w:t>四维向量输入隐藏维数为16的两层感知器，输出3个尺度的未归一化分数。路由器仅计算三个尺度的融合分数，不需要再次完成完整的OD流量预测，因此本文未引入循环网络、注意力网络等额外时序编码器。使用低维统计量和较小隐藏层，也能把路由模块的参数规模控制在较低水平。其尺度分数计算为</w:t>
      </w:r>
    </w:p>
    <w:p w14:paraId="2935E851" w14:textId="77777777" w:rsidR="00B14FA3" w:rsidRPr="00B14FA3" w:rsidRDefault="00B14FA3" w:rsidP="00B14FA3">
      <w:pPr>
        <w:spacing w:line="360" w:lineRule="auto"/>
      </w:pPr>
      <w:r>
        <w:rPr>
          <w:szCs w:val="21"/>
        </w:rPr>
        <w:t>式（11）得到的3个尺度分数仍是未归一化值。为使这些分数可以直接解释为各专家在最终预测中的相对贡献，使用Softmax进行归一化。经Softmax处理后，每个权重均为非负值，并且3个权重之和为1：</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式（13）利用上述权重对3个DLinear专家的预测结果进行加权求和，得到最终预测Ŷn。该组权重由输入窗口计算，并由同一窗口内的全部OD变量共享。为了区分多尺度结构、非等权分配与样本相关分配的作用，设置三种共享相同专家的对照：固定等权模型将三个尺度恒定设为1/3；全局可学习权重模型以三个可训练参数经Softmax得到一组常权重；恒定输入路由模型保留完整路由网络，但训练和推理时都向路由器输入全零窗口，使全部样本共用一组可学习权重。三种模型的尺度专家均接收真实历史窗口。</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参数训练使用Adam优化器，并以验证集MSE选择最终模型。单尺度DLinear包含4656个可训练参数；三个尺度专家的固定等权模型包含8208个参数；增加三个全局权重参数后为8211个参数；样本级路由模型和恒定输入路由模型均为8339个标称参数。路由网络相对固定等权模型增加131个参数，相对全局权重模型增加128个参数。恒定输入路由保留相同网络结构，但首层输入权重因输入恒为零而不参与有效计算；两类固定权重对照均不能单独证明逐窗口权重分配的作用。</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模型的计算过程可以概括为三个环节：平均池化把同一历史窗口转换为3个时间分辨率，DLinear专家分别给出候选预测，路由网络再根据原始窗口的4个统计量确定融合权重。多尺度序列决定模型从哪些时间分辨率读取历史信息，尺度专家完成各自的预测，路由网络只负责组合结果。后续实验据此设置单尺度DLinear、固定等权多尺度、全局可学习固定权重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按外部基线、核心消融和路由行为三个层次组织。DLinear和LightTS提供相同预测任务下的外部误差参照；固定等权、全局可学习常权重、恒定输入路由与样本级路由模型共享三个尺度专家，依次检验多尺度结构、非等权融合及输入相关权重的作用；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实验数据取自CESNET TS-Zoo[7]，包括1 h聚合的Abilene[8]和GÉANT[9]骨干网流量矩阵。Abilene共有4656个时间点，保留144维有效OD流量；GÉANT共有2849个时间点，去除恒定通道后保留524维有效OD流量。两者在序列长度和变量规模上差异较大，能够在相同预测流程下提供不同的数据条件。两个数据集均按时间顺序以6∶2∶2划分为训练集、验证集和测试集，输入长度L=96，预测长度H=24，预处理方式与第1.1节一致。表1列出了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实验不为各模型单独搜索最优超参数，而是在统一预测任务下控制数据与训练条件。DLinear、固定等权多尺度、全局可学习权重、恒定输入路由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外部基线比较使用随机种子42～44共3个共同随机种子。核心消融使用随机种子42～49共8个共同随机种子，比较DLinear、固定等权多尺度、全局可学习权重、恒定输入路由和本文方法。全局权重由等权初始化，恒定输入路由对所有窗口使用全零路由输入；两者均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设置DLinear、LightTS、固定等权多尺度、全局可学习权重和恒定输入路由五类对照。DLinear用于比较单一尺度与多尺度结构；LightTS提供独立轻量模型基线。后三种多尺度对照与本文方法保留相同的尺度集合{1,2,4}和DLinear专家，分别使用等权、全局可学习权重和恒定输入路由权重。后两者均对全部窗口使用一组固定权重，可检验完整模型相对常权重方案的误差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误差越低。MSE对较大误差更敏感，MAE反映绝对误差的平均水平，RMSE是MSE开方后的结果，用于补充呈现误差幅值。正文以MSE和MAE作为主要比较指标。表2统计随机种子42～44的均值±标准差，表3统计随机种子42～49的均值±标准差，同时给出平均水平和重复实验间的波动。文中相对改进率均先按共同随机种子逐一计算，再取种子平均；因此不直接用表中四舍五入后的均值计算百分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逐种子计算后相对DLinear分别降低4.07%和4.54%，相对LightTS分别降低29.80%和46.89%，MAE呈相同方向变化。DLinear与本文尺度专家采用同源结构，后续核心消融继续以它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聚焦独立外部基线LightTS，并使用两种方法共同具备的随机种子42～44。按（LightTS误差−本文方法误差）/LightTS误差计算每次实验的相对降低率后，Abilene上的MSE、MAE和RMSE平均降低29.80%、17.57%和16.23%，GÉANT上分别降低46.89%、29.15%和27.18%。两个数据集的3个共同随机种子在三项指标上均为正向降低。参数量方面，本文方法为8339，LightTS在Abilene和GÉANT上分别为130162和384382，本文方法约为其6.41%和2.17%。图2因此只承担外部结构基线比较，DLinear和固定等权模型的内部比较放在表3和图3中。</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两个数据集上的相对降幅并不相同。GÉANT包含的OD变量数高于Abilene，同时本文方法相对LightTS的MSE降幅也更大，但现有实验不能把这种差异直接归因于变量规模。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汇总随机种子42～49的8次核心消融。本文方法相对DLinear与固定等权模型的逐种子平均MSE改进率，Abilene分别为2.77%和1.65%，GÉANT分别为2.35%和4.54%。全局可学习权重与恒定输入路由均对所有窗口使用一组可学习权重，后者与本文方法同为8339个标称参数。相对这两种对照，本文方法在Abilene上的改进均约1.80%，在GÉANT上分别为4.31%和4.97%，各有6/8和7/8个种子胜出。相对恒定输入路由的95%置信区间分别为[0.49%,3.11%]和[−1.62%,11.56%]，相对全局权重则为[0.01%,3.58%]和[−2.51%,11.13%]；GÉANT两项区间均跨零。</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0.181±0.006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0.379±0.007</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pPr>
            <w:r>
              <w:rPr>
                <w:color w:val="000000"/>
                <w:szCs w:val="21"/>
              </w:rPr>
              <w:t>0.366±0.018</w:t>
            </w:r>
          </w:p>
        </w:tc>
      </w:tr>
    </w:tbl>
    <w:p w14:paraId="68B92BCA" w14:textId="77777777" w:rsidR="00B14FA3" w:rsidRPr="00B14FA3" w:rsidRDefault="00B14FA3" w:rsidP="00B14FA3">
      <w:r>
        <w:rPr>
          <w:color w:val="000000"/>
          <w:szCs w:val="21"/>
        </w:rPr>
        <w:t>图3汇总随机种子42～49下的相对改进结果，比较对象为DLinear和固定等权多尺度模型，指标包括MSE、MAE和RMSE。图中的散点对应单次随机种子实验，半小提琴以平滑轮廓展示8次结果的分布，黑色菱形和横向误差线表示8次改进率的均值及95%置信区间，0%虚线表示两种方法误差相同。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都为正，但GÉANT在不同随机种子之间的波动更明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2663571"/>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715000" cy="26635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r>
        <w:t>固定等权模型检验等权融合，全局可学习权重及恒定输入路由模型提供两种常权重对照。表3中本文方法相对两者的平均MSE均较低，但GÉANT的配对区间均跨越零；其中种子43相对恒定输入路由退步12.78%。由于恒定输入路由的首层输入权重不起作用，且各模型分别训练，这一比较仍不足以证明每个窗口的尺度权重分配本身有效。图4进一步结合全测试点的平均预测偏差与按真实值波动选取的预测轨迹，观察整体趋势和具体误差。</w:t>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349240" cy="3913661"/>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349240" cy="3913661"/>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图4 Abilene与GÉANT全测试点预测校准及典型窗口预测轨迹</w:t>
      </w:r>
      <w:r>
        <w:rPr>
          <w:rFonts w:eastAsia="黑体"/>
          <w:b/>
          <w:sz w:val="18"/>
          <w:szCs w:val="18"/>
        </w:rPr>
      </w:r>
      <w:r>
        <w:rPr>
          <w:rFonts w:eastAsia="黑体"/>
          <w:b/>
          <w:sz w:val="18"/>
          <w:szCs w:val="18"/>
        </w:rPr>
      </w:r>
      <w:r>
        <w:rPr>
          <w:rFonts w:eastAsia="黑体"/>
          <w:b/>
          <w:sz w:val="18"/>
          <w:szCs w:val="18"/>
        </w:rPr>
      </w:r>
    </w:p>
    <w:p>
      <w:pPr>
        <w:keepNext w:val="0"/>
        <w:keepLines/>
      </w:pPr>
      <w:r>
        <w:t>图4(a、b)汇总随机种子42～49的全部测试窗口、24个预测步及有效OD通道：按真实值分位点划为最多40个区间，四种模型的曲线表示各区间的8种子平均预测值，浅色带为种子间±1个标准差，灰色虚线为理想预测。四种模型在高真实值区域均有低估，本文方法的平均偏差较小，但分组均值不能代表逐点误差。图4(c～f)固定随机种子42，仅根据真实序列选择标准差接近第75百分位的OD通道，再选择波动程度接近中位数和第90百分位的窗口，未依据模型误差挑选。四例中本文方法有三例的24步均方误差低于DLinear、固定等权与恒定输入路由模型；Abilene的典型波动窗口则较差。轨迹展示局部行为，总体精度以表3的配对结果为准；重叠测试窗口也不视为独立重复。</w:t>
      </w:r>
    </w:p>
    <w:p>
      <w:pPr>
        <w:keepNext w:val="0"/>
        <w:keepLines/>
      </w:pPr>
      <w:r>
        <w:t>模型规模之外，还需考察前向开销。对8个随机种子的预测长度24检查点，在NVIDIA GTX 1060上以批量16对预加载的测试张量计时，本文方法在Abilene和GÉANT上的平均每批前向耗时分别为2.65 ms和2.61 ms，固定等权模型分别为2.38 ms和2.10 ms，单尺度DLinear分别为0.77 ms和0.70 ms。计时仅覆盖模型前向计算，不含数据读取与传输。因此，本文方法参数量较小，但三个尺度专家及路由计算仍增加了推理开销；上述结果不代表端到端部署时延。</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5展示随机种子42～49下三个尺度的路由权重。蓝、绿、橙色小提琴分别对应尺度1、2和4在全部测试窗口及种子上的汇总分布；彩色散点为各随机种子的窗口平均权重，短横线为汇总分布中位数。黑色菱形和误差线表示8个种子均值的均值±1个标准差，水平虚线为固定等权1/3。小提琴合并了种子与窗口两个层次，其宽度不能直接解释为同一种子内的窗口响应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715000" cy="2534454"/>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715000" cy="2534454"/>
                    </a:xfrm>
                    <a:prstGeom prst="rect"/>
                  </pic:spPr>
                </pic:pic>
              </a:graphicData>
            </a:graphic>
          </wp:inline>
        </w:drawing>
      </w:r>
    </w:p>
    <w:p>
      <w:pPr>
        <w:keepNext w:val="0"/>
        <w:keepLines/>
        <w:spacing w:before="60" w:after="80"/>
        <w:ind w:firstLine="0"/>
        <w:jc w:val="center"/>
      </w:pPr>
      <w:r>
        <w:rPr>
          <w:rFonts w:eastAsia="黑体"/>
          <w:b/>
          <w:sz w:val="18"/>
          <w:szCs w:val="18"/>
        </w:rPr>
        <w:t>图5 Abilene与GÉANT的逐窗口路由权重汇总分布及八种子均值</w:t>
      </w:r>
    </w:p>
    <w:p>
      <w:pPr>
        <w:keepLines/>
      </w:pPr>
      <w:r>
        <w:rPr>
          <w:color w:val="000000"/>
          <w:szCs w:val="21"/>
        </w:rPr>
        <w:t>Abilene三个尺度的汇总平均权重为0.257、0.319和0.424，GÉANT为0.283、0.318和0.399。虽然总体均值偏离1/3，但GÉANT三个尺度的汇总权重方差约96.2%、95.8%和97.7%来自种子之间；同一种子内随测试窗口的变化较小。Abilene的对应比例为48.7%、86.1%和80.6%。图5的汇总分布同时包含种子间差异与同一种子内的窗口差异，因此不能单独证明路由器有效识别每个窗口的尺度需求。</w:t>
      </w:r>
    </w:p>
    <w:p w14:paraId="2B7D35DC" w14:textId="77777777" w:rsidR="00B14FA3" w:rsidRPr="00B14FA3" w:rsidRDefault="00B14FA3" w:rsidP="00B14FA3">
      <w:r>
        <w:rPr>
          <w:color w:val="000000"/>
          <w:szCs w:val="21"/>
        </w:rPr>
        <w:t>进一步以输入窗口平均绝对一阶差分衡量波动强度，并用训练窗口的三分位数阈值划分测试窗口。Abilene低、中、高波动组分别有15、406、392个窗口，本文方法相对全局权重模型的逐种子平均MSE改进率分别为4.43%、1.90%、1.69%；GÉANT在训练阈值下无低波动测试窗口，中、高组分别有76、375个窗口，改进率为5.85%和4.06%。Abilene高波动组的尺度1平均权重高于中波动组，但误差优势并未更强；GÉANT中、高组的权重近似相同。分组结果尚不支持“波动越强，路由收益越大”的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面向骨干网络OD流量中的短时波动和较慢趋势，以尺度1、2和4的DLinear专家构建多尺度预测，并通过轻量路由网络计算输入相关融合权重。在预测长度24的Abilene和GÉANT任务上，本文方法相对DLinear、LightTS和固定等权模型取得较低平均误差。相对全局可学习权重与恒定输入路由两类常权重对照，本文方法在Abilene上的逐种子平均MSE改进均约1.80%；GÉANT上的对应改进分别为4.31%和4.97%，但两项95%置信区间均跨越零。按真实值分组的预测校准表明，各模型对较高流量取值仍有低估；本文方法在高值端的平均偏差较小，但不能由此推断其在每个测试点均更准确。逐种子权重及波动分组分析也未能充分证明路由器稳定地匹配每个窗口的尺度需求。后续需在更多数据和预测设置下检验这种输入相关融合的稳定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