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全局可学习固定权重与恒定输入路由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全局可学习权重与恒定输入路由对照采用相同的尺度与专家结构，并分别训练，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主要是为了把预测主干与尺度融合的影响区分开。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LightTS提供独立结构的外部基线，DLinear提供单尺度参照；固定等权、全局可学习常权重、恒定输入路由与样本级路由模型采用相同的三个尺度专家结构，并分别训练，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全局可学习权重和恒定输入路由五类对照。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本文方法相对DLinear与固定等权模型的逐种子平均MSE改进率，Abilene分别为2.77%和1.65%，GÉANT分别为2.35%和4.54%。全局可学习权重与恒定输入路由均对所有窗口使用一组可学习权重，后者与本文方法同为8339个标称参数。相对这两种对照，本文方法在Abilene上的改进均约1.80%，在GÉANT上分别为4.31%和4.97%，各有6/8和7/8个种子胜出。相对恒定输入路由的95%置信区间分别为[0.49%,3.11%]和[−1.62%,11.56%]，相对全局权重则为[0.01%,3.58%]和[−2.51%,11.13%]；GÉANT两项区间均跨零。</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这一比较仍不足以证明每个窗口的尺度权重分配本身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