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exhibits short-term fluctuations alongside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均依赖对后续流量状态的判断。后一时段的OD流量估计可为网络管理系统预先调整资源提供依据。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方法已由传统统计模型扩展至机器学习和深度学习模型。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这些工作分别从时间依赖、变量关联和周期结构刻画流量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模型结构开销也不可忽略。DLinear[6]采用时间序列分解和线性映射完成预测；TimeMixer[7]利用多尺度混合机制处理不同分辨率序列；LightTS[8]采用采样导向的MLP结构进行快速多变量时间序列预测。据此，本文同时考察多时间尺度信息的利用与模型规模控制。</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不同输入窗口的流量状态存在差异：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因此，模型在构造多个时间尺度的同时，根据当前输入样本调整各尺度在最终预测中的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预处理后的输入样本仍为原始时间分辨率。为使专家分别观察细粒度变化与较平滑的趋势，下一步从同一历史窗口构造不同尺度的表示。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选择尺度1、2和4，可由96步历史窗口形成三组长度均为整数的序列，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有助于区分预测主干和尺度融合各自的影响。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无需再次预测完整的OD流量，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式（11）输出的3个尺度分数尚未归一化。经Softmax归一化后，3个非负权重之和为1，可用于表示各专家在最终预测中的相对贡献：</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使用Adam优化器训练，并依据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计算依次经过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的序列长度和变量规模差异较大，可用于观察同一预测流程在不同数据条件下的表现。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分别反映平均水平和随机种子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的相对降幅存在差异。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散点对应各随机种子，半小提琴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因此，这一比较仍无法单独证明逐窗口权重分配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出现低估。本文方法的平均偏差较小，但分组均值不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同时包含种子间差异和窗口间差异，其宽度不能直接表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输入窗口的平均绝对一阶差分用于衡量波动强度；测试窗口按训练窗口的三分位数阈值分组。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模型前向开销另行测量。对8个随机种子的预测长度24检查点，在NVIDIA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的短时波动与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