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exhibits short-term fluctuations alongside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均依赖对后续流量状态的判断。后一时段的OD流量估计可为网络管理系统预先调整资源提供依据。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方法已由传统统计模型扩展至机器学习和深度学习模型。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这些工作分别从时间依赖、变量关联和周期结构刻画流量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[5]利用深度回声状态网络进行多尺度网络流量预测，通过不同时间分辨率提取互补信息。模型结构开销也不可忽略。DLinear[6]采用时间序列分解和线性映射完成预测；TimeMixer[7]利用多尺度混合机制处理不同分辨率序列；LightTS[8]采用采样导向的MLP结构进行快速多变量时间序列预测。据此，本文同时考察多时间尺度信息的利用与模型规模控制。</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不同输入窗口的流量状态存在差异：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因此，模型在构造多个时间尺度的同时，根据当前输入样本调整各尺度在最终预测中的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保留的信息并不相同。原始尺度包含更多局部变化，较粗尺度经过时间聚合后削弱部分短时扰动，更突出较慢的变化趋势。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预处理后的输入样本仍为原始时间分辨率。为使专家分别观察细粒度变化与较平滑的趋势，下一步从同一历史窗口构造不同尺度的表示。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选择尺度1、2和4，可由96步历史窗口形成三组长度均为整数的序列，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[6]，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作为尺度专家，有助于区分预测主干和尺度融合各自的影响。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仅计算三个尺度的融合分数，无需再次预测完整的OD流量，因此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式（11）输出的3个尺度分数尚未归一化。经Softmax归一化后，3个非负权重之和为1，可用于表示各专家在最终预测中的相对贡献：</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使用Adam优化器训练，并依据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计算依次经过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TS-Zoo[9]，包括1 h聚合的Abilene[10]和GÉANT[11]骨干网流量矩阵。Abilene共有4656个时间点，保留144维有效OD流量；GÉANT共有2849个时间点，去除恒定通道后保留524维有效OD流量。两者的序列长度和变量规模差异较大，可用于观察同一预测流程在不同数据条件下的表现。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分别反映平均水平和随机种子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的相对降幅存在差异。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散点对应各随机种子，半小提琴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因此，这一比较仍无法单独证明逐窗口权重分配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域均出现低估。本文方法的平均偏差较小，但分组均值不代表逐点误差。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同时包含种子间差异和窗口间差异，其宽度不能直接表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输入窗口的平均绝对一阶差分用于衡量波动强度；测试窗口按训练窗口的三分位数阈值分组。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模型前向开销另行测量。对8个随机种子的预测长度24检查点，在NVIDIA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针对骨干网络OD流量的短时波动与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