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exhibits short-term fluctuations alongside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均依赖对后续流量状态的判断。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传统统计模型之外，机器学习和深度学习模型也已用于网络流量预测。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这些工作分别从时间依赖、变量关联和周期结构刻画流量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多尺度信息的利用还需考虑模型结构开销。DLinear[6]采用时间序列分解和线性映射完成预测；TimeMixer[7]利用多尺度混合机制处理不同分辨率序列；LightTS[8]采用采样导向的MLP结构进行快速多变量时间序列预测。据此，本文同时考察多时间尺度信息的利用与模型规模控制。</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短时波动与平缓趋势在不同输入窗口中的占比并不相同。输入状态变化时，尺度1、2和4对预测的作用也可能发生变化。只使用单一尺度会舍弃其他时间分辨率的信息，而长期采用固定融合比例又难以体现窗口之间的状态差异。因此，本文在构造多个时间尺度的同时，依据当前输入窗口调整各尺度的融合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本文保留3个尺度的独立预测，再由路由网络确定每个样本的组合比例。DLinear结构较简洁，可在控制模型规模的同时承担各尺度的预测任务，也便于比较多尺度输入和样本级融合的作用。</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预处理不改变输入样本的时间分辨率。随后从同一历史窗口构造不同尺度的表示，供各专家分别观察细粒度变化与较平滑的趋势。</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在输入长度L=96时，尺度1保留原始96步序列；尺度2将相邻2个时间点取平均，得到48步序列；尺度4按4个时间点进行平均，得到24步序列。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选择尺度1、2和4，可由96步历史窗口形成三组长度均为整数的序列，同时控制专家数量。尺度继续增加虽然可以产生更粗的序列，但也会继续缩短有效时间长度并增加新的专家分支。尺度组合{1,2,4}是一组兼顾细粒度信息、趋势信息和模型规模的固定设计，未经穷举搜索，本文不将其视为最优尺度组合。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预测主干和尺度融合的影响需分别考察，因此采用DLinear作为尺度专家。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的任务是计算三个尺度的融合分数，无需再次预测完整的OD流量。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式（11）输出的3个尺度分数尚未归一化。经Softmax归一化后，3个非负权重之和为1，可用于表示各专家在最终预测中的相对贡献：</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使用Adam优化器训练，并依据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的序列长度和变量规模差异较大，可用于观察同一预测流程在不同数据条件下的表现。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为MSE的平方根，补充描述误差幅值。正文以MSE和MAE作为主要比较指标。表2统计随机种子42～44的均值±标准差，表3统计随机种子42～49的均值±标准差，分别反映平均水平和随机种子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的相对降幅存在差异。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散点对应各随机种子，半小提琴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恒定输入路由的首层输入权重不起作用，各模型也分别训练。这些对照显示完整方法与两类常权重方案存在误差差异，但尚不能将收益唯一归因于逐窗口权重变化。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真实值按分位点划为最多40个区间，四种模型的曲线表示各区间的8种子平均预测值，浅色带为种子间±1个标准差，灰色虚线为理想预测。四种模型在高真实值区间均有低估；本文方法的分组平均偏差较小，但这一结果不能替代逐点误差比较。图4(c～f)固定随机种子42，仅根据真实序列选择标准差接近第75百分位的OD通道，再选择波动程度接近中位数和第90百分位的窗口。上述选择未依据模型误差。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同时包含种子间差异和窗口间差异，其宽度不能直接表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总体均值偏离1/3。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输入窗口的平均绝对一阶差分用于衡量波动强度；测试窗口按训练窗口的三分位数阈值分组。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模型前向开销另行测量。使用预测长度为24的8个随机种子检查点，在NVIDIA GTX 1060上以批量大小16对预加载的测试张量计时，本文方法在Abilene和GÉANT上的平均每批前向耗时分别为2.65 ms和2.61 ms，固定等权模型分别为2.38 ms和2.10 ms，单尺度DLinear分别为0.77 ms和0.70 ms。计时仅覆盖模型前向计算，不含数据读取与传输。本文方法参数量较小，三个尺度专家及路由计算仍增加了推理开销。端到端部署时延还包括数据读取与传输，不在上述计时范围内。</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的短时波动与较慢趋势，以尺度1、2和4的DLinear专家构建多尺度预测，并通过轻量路由网络计算输入相关融合权重。在Abilene和GÉANT预测长度为24的任务中，本文方法的平均误差低于DLinear、LightTS和固定等权模型。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