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Short-term fluctuations and slower trends coexist in backbone origin-destination traffic. Input-window statistics determine the Softmax weights used to combine DLinear experts at scales 1, 2, and 4. For input length 96 and forecast length 24, results from three common random seeds give MSE reductions of 4.07% on Abilene and 4.54% on GÉANT relative to DLinear. The corresponding reductions relative to LightTS are 29.80% and 46.89%. An eight-seed ablation adds two fixed-weight controls: learned global weights and a router receiving constant input. Mean seed-wise MSE reductions over the two controls are both about 1.80% on Abilene; on GÉANT, they are 4.31% and 4.97%, respectively. Both paired 95% confidence intervals on GÉANT include zero, and most of its pooled router-weight variance arises between seeds. Reliable window-specific scale selection therefore remains unconfirmed despite the average error reduction.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容量规划、拥塞预警、资源调度和流量工程需要判断后续的OD流量状态。云计算、视频业务、数据中心互联及智能网络应用的增加，使业务迁移和聚集更加频繁，也使这种判断面临更复杂的时间变化。OD流量中的周期变化常与局部波动、突发变化叠加，各变量的数值范围也不同。相较于较平稳的单变量序列，这类数据要求模型在描述较长时间趋势时仍能响应短时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Lohrasbinasab等[1]系统梳理了网络流量预测方法，指出机器学习和深度学习等数据驱动方法在复杂流量预测中的应用不断增加，反映了传统统计模型之外的研究扩展。网络规模扩大也使OD变量之间的关联更难由单一序列的时间分析覆盖。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上述研究涉及的时间依赖、变量关联与周期结构，构成了流量预测的不同观察角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不同时间分辨率下，流量序列中可观察的变化不同：原始分辨率保留短时起伏等局部细节，时间聚合则平滑部分扰动，突出较慢的趋势。Zhou等[5]利用深度回声状态网络进行多尺度网络流量预测，通过不同时间分辨率提取互补信息。多尺度信息的利用还需考虑模型结构开销。DLinear[6]采用时间序列分解和线性映射完成预测；TimeMixer[7]利用多尺度混合机制处理不同分辨率序列；LightTS[8]采用采样导向的MLP结构进行快速多变量时间序列预测。本文的设计由此同时受多时间尺度信息和模型规模两项要求约束。</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各输入窗口中短时波动与平缓趋势的占比不同，尺度1、2和4对预测的作用因而可能随输入状态变化。单一尺度不能保留其他时间分辨率的信息；多尺度采用固定融合比例时，窗口状态差异也未进入权重计算。本文据此构造多个时间尺度，并以当前输入窗口计算融合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针对输入窗口之间的状态差异，本文采用样本级自适应多尺度结构。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原始尺度保留局部变化，较粗尺度则通过时间聚合削弱短时扰动。三个尺度因而提供了不同平滑程度的历史信息。本文保留3个尺度的独立预测，再由路由网络确定每个样本的组合比例。各尺度采用结构较简洁的DLinear承担预测任务，以控制模型规模，并为比较多尺度输入与样本级融合提供统一主干。</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，t为时间索引，C为有效OD变量数。监督学习样本由连续序列按时间滑动生成；第n个样本的历史窗口</w:t>
      </w:r>
      <m:oMath>
        <m:sSub>
          <m:e>
            <m:r>
              <m:rPr>
                <m:sty m:val="b"/>
              </m:rPr>
              <m:t>X</m:t>
            </m:r>
          </m:e>
          <m:sub>
            <m:r>
              <m:t>n</m:t>
            </m:r>
          </m:sub>
        </m:sSub>
      </m:oMath>
      <w:r>
        <w:t>与预测目标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覆盖紧随其后的H个时间点。多个OD变量过去L步的联合变化作为模型输入，用于估计未来H步取值。输入与目标定义如下</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本文设置输入长度L=96、预测长度H=24，变量数C由各数据集保留的有效OD维度确定，学习映射记为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。其中L限定历史范围，H限定连续预测的未来长度。非负的原始OD流量在变量之间存在较大量级差异，直接训练时各维数据的数值尺度不一致。为压缩这一差异，先对原始流量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为第c个OD变量在训练集上的均值和标准差，验证集和测试集均使用训练阶段得到的统计量。log(1+x)保留非负流量的大小关系，并压缩其数值范围。随后按变量标准化，使各OD维度在相近尺度上参与损失计算和参数更新。数据仍按时间顺序以6∶2∶2划分为训练集、验证集和测试集，各集合内部独立生成滑动窗口，避免窗口跨越不同数据划分边界。</w:t>
      </w:r>
    </w:p>
    <w:p>
      <w:pPr/>
      <w:r>
        <w:t>预处理不改变输入样本的时间分辨率。各尺度序列均从同一历史窗口构造。</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设尺度集合S={1,2,4}。沿时间维采用非重叠平均池化，尺度s同时指定聚合窗口大小与步长。任一尺度s的池化过程为：</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keepLines/>
        <w:spacing w:line="360" w:lineRule="auto"/>
      </w:pPr>
      <w:r w:rsidRPr="00B14FA3">
        <w:rPr>
          <w:szCs w:val="21"/>
        </w:rPr>
        <w:t>本文使用尺度集合S={1,2,4}。在输入长度L=96时，尺度1保留原始96步序列；尺度2将相邻2个时间点取平均，得到48步序列；尺度4按4个时间点进行平均，得到24步序列。时间轴在尺度1下不被压缩，短时起伏得以保留；尺度2和尺度4依次增强平滑程度，较粗尺度更突出较慢的趋势。平均池化无需可训练的尺度变换参数，因此多分辨率输入的构造本身不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选择尺度1、2和4，可由96步历史窗口形成三组长度均为整数的序列，同时控制专家数量。继续增加尺度会产生更粗的序列，也会缩短有效时间长度、增加专家分支。尺度组合{1,2,4}按细粒度信息、趋势信息和模型规模的要求固定设置；由于未经穷举搜索，其最优性尚未验证。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配置一个DLinear专家[6]，每个专家只处理本尺度对应的输入序列。DLinear先分离变化较慢的趋势项及围绕趋势变化的余项，再对两项分别作时间映射。对尺度s的输入，本文使用长度q=25的中心移动平均提取趋势项。移动平均平滑局部时间邻域。序列边界的窗口不足部分由端点复制补齐，补齐后的序列记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采用DLinear统一尺度专家，是为减少预测主干结构对融合方式比较的干扰。本文需要比较单尺度预测、固定等权、全局可学习固定权重、恒定输入路由和样本级路由五种设置；若尺度专家本身过于复杂，误差变化会同时受到主干结构和融合机制影响。DLinear的参数关系清晰，基本预测能力也可保留，便于在统一专家结构下开展这些比较。</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keepLines/>
        <w:spacing w:line="360" w:lineRule="auto"/>
      </w:pPr>
      <w:r>
        <w:t>同一样本经3个DLinear专家得到3组预测，最终输出由各组预测的占比决定。令3个尺度始终各占1/3时，所有输入窗口均使用相同的融合比例。窗口状态并不相同，局部波动较强时可能更依赖细粒度信息，平稳变化时则可能更依赖较粗尺度的趋势信息。为将这种状态差异纳入权重计算，本文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向量输入隐藏维数为16的两层感知器，输出3个尺度的未归一化分数。路由器只输出尺度融合分数，不承担完整OD流量预测。低维统计量配合较小隐藏层即可完成这一计算，本文因而未增加循环网络、注意力网络等时序编码器，以限制路由模块的参数规模。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对式（11）的3个尺度分数作Softmax归一化，得到3个总和为1的非负权重；各专家在最终预测中的相对贡献由这些权重表示：</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keepNext/>
        <w:keepLines/>
        <w:spacing w:line="360" w:lineRule="auto"/>
      </w:pPr>
      <w:r w:rsidRPr="00B14FA3">
        <w:rPr>
          <w:szCs w:val="21"/>
        </w:rPr>
        <w:t>训练目标为均方误差，计算范围覆盖训练样本、未来H个预测时刻和全部C个OD变量。各预测步与OD维度的偏差由同一目标汇总，并用于参数更新。对应训练目标为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Adam用于模型参数优化，最终模型按验证集MSE选择。单尺度DLinear包含4656个可训练参数；三个尺度专家的固定等权模型包含8208个参数；增加三个全局权重参数后为8211个参数；样本级路由模型和恒定输入路由模型均为8339个标称参数。与固定等权模型相比，路由网络增加131个参数；与全局权重模型相比，增加128个参数。恒定输入路由虽保留相同结构，恒零输入仍使首层输入权重不参与有效计算。</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模型计算依次经过三个环节：平均池化把同一历史窗口转换为3个时间分辨率，DLinear专家分别给出候选预测，路由网络再根据原始窗口的4个统计量确定融合权重。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TS-Zoo[9]，包括1 h聚合的Abilene[10]和GÉANT[11]骨干网流量矩阵。Abilene共有4656个时间点，保留144维有效OD流量；GÉANT共有2849个时间点，去除恒定通道后保留524维有效OD流量。两套数据在序列长度、变量规模上的差异，为检验同一预测流程提供了不同的数据条件。划分均沿时间顺序进行，训练集、验证集、测试集的比例为6∶2∶2；输入长度L=96，预测长度H=24。预处理按第1.1节执行，数据规模及窗口数量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widowControl/>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均方误差（MSE）、平均绝对误差（MAE）及均方根误差（RMSE）用于评价预测性能。其中MSE采用式（14），MAE和RMSE的定义如下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所有误差均在标准化空间中计算，以较小值为优。正文主要比较MSE与MAE：前者对较大误差更敏感，后者描述平均绝对偏差。RMSE为MSE的平方根，用于补充误差幅值。表2统计随机种子42～44的均值±标准差，表3统计随机种子42～49的均值±标准差，分别反映平均水平和随机种子间的波动。相对改进率的统计从共同随机种子开始：分别计算每个种子的改进率，再取平均。表中四舍五入后的均值不用于该百分比计算。</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GÉANT的OD变量数较多，本文方法相对LightTS的MSE降幅也高于Abilene。不过，两者同时出现不能确立变量规模与误差降幅之间的因果关系。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汇总随机种子42～49下的相对改进结果，比较对象为DLinear和固定等权多尺度模型，指标包括MSE、MAE和RMSE。8次结果以半小提琴呈现分布，各随机种子另以散点标出。8次改进率的均值及95%置信区间由黑色菱形和横向误差线给出；以0%虚线为界判断误差是否改善。相对DLinear时，Abilene的MSE、MAE和RMSE平均改进率为2.77%、8.01%和1.40%，其中MSE与RMSE在8次实验中均改善；GÉANT分别为2.35%、1.32%和1.22%，且跨越0%的情况更多。相对固定等权模型时，Abilene三项指标的平均改进率为1.65%、8.92%和0.84%，GÉANT为4.54%、3.05%和2.37%。平均改进率相对两种基线均为正。GÉANT的种子间波动较明显，平均收益的稳定性仍需结合置信区间判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widowControl/>
      </w:pPr>
      <w:r>
        <w:t>固定等权模型检验等权融合，全局可学习权重及恒定输入路由模型提供两种常权重对照。表3中本文方法相对两者的平均MSE均较低，但GÉANT的配对区间均跨越零；其中种子43相对恒定输入路由退步12.78%。恒定输入路由的首层输入权重不起作用，各模型也分别训练。因此，完整方法与两类常权重方案的误差差异，尚不足以唯一识别逐窗口权重变化的贡献。整体偏差与局部误差另由图4观察：前者汇总全测试点，后者采用按真实值波动选取的预测轨迹。</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形成最多40个区间后，对四种模型分别计算各区间的8种子平均预测值。曲线旁的浅色带覆盖种子间±1个标准差，灰色虚线标示理想预测。高真实值区间内四种模型均低估，本文方法的分组平均偏差较小；逐点误差仍需另行比较。图4(c～f)固定随机种子42，仅根据真实序列选择标准差接近第75百分位的OD通道，再选择波动程度接近中位数和第90百分位的窗口。上述选择未依据模型误差。24步均方误差在四例中的三例低于DLinear、固定等权与恒定输入路由模型，例外是Abilene的典型波动窗口。轨迹只能说明这些局部行为，总体精度按表3的配对结果判断。重叠测试窗口不作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表示同一种子内各窗口的平均权重；8个种子均值再汇总为均值±1个标准差，由黑色菱形和误差线表示。短横线标示汇总分布中位数，水平虚线标示固定等权1/3。小提琴的宽度受种子间和窗口间差异共同影响，无法直接据此判断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总体均值偏离1/3。种子间差异占GÉANT三个尺度汇总权重方差的约96.2%、95.8%和97.7%，占Abilene对应方差的48.7%、86.1%和80.6%。GÉANT同一种子内的窗口变化较小。图5混合了种子间差异与同一种子内的窗口差异。仅凭这类汇总分布，还不能确认路由器对各窗口尺度需求的识别是否有效。</w:t>
      </w:r>
    </w:p>
    <w:p w14:paraId="2B7D35DC" w14:textId="77777777" w:rsidR="00B14FA3" w:rsidRPr="00B14FA3" w:rsidRDefault="00B14FA3" w:rsidP="00B14FA3">
      <w:r>
        <w:rPr>
          <w:color w:val="000000"/>
          <w:szCs w:val="21"/>
        </w:rPr>
        <w:t>以平均绝对一阶差分度量输入窗口的波动强度，并用训练窗口的三分位数确定测试分组阈值。Abilene低、中、高波动组分别有15、406、392个窗口。本文方法相对全局权重模型的逐种子平均MSE改进率分别为4.43%、1.90%、1.69%；GÉANT在训练阈值下无低波动测试窗口，中、高组分别有76、375个窗口，改进率为5.85%和4.06%。尺度1的平均权重在Abilene高波动组较中波动组更高，却未对应更强的误差优势。GÉANT的中、高波动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模型前向开销另行测量。使用预测长度为24的8个随机种子检查点，在NVIDIA GTX 1060上以批量大小16对预加载的测试张量计时，本文方法在Abilene和GÉANT上的平均每批前向耗时分别为2.65 ms和2.61 ms，固定等权模型分别为2.38 ms和2.10 ms，单尺度DLinear分别为0.77 ms和0.70 ms。这组计时仅覆盖模型前向计算，端到端部署还需计入数据读取与传输。虽然本文方法参数量较小，三个尺度专家及路由计算仍使推理开销增加。</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尺度1、2和4的DLinear专家分别预测骨干网络OD流量，再由轻量路由网络计算输入相关融合权重，形成兼顾短时波动与较慢趋势的多尺度预测结构。在Abilene和GÉANT预测长度为24的任务中，本文方法的平均误差低于DLinear、LightTS和固定等权模型。相对全局可学习权重与恒定输入路由两类常权重对照，本文方法在Abilene上的逐种子平均MSE改进均约1.80%；GÉANT上的对应改进分别为4.31%和4.97%，但两项95%置信区间均跨越零。预测校准显示，各模型在较高流量取值处仍低估，本文方法的高值端平均偏差较小。这一分组结果不能推广为每个测试点均更准确。结合逐种子权重及波动分组分析，路由器能否稳定匹配窗口尺度需求仍缺乏充分证据；输入相关融合的稳定收益需在更多数据与预测设置下检验。</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