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兼有短时起伏和较慢趋势，单一时间分辨率难以同时表征两者。本文采用尺度1、2和4的DLinear专家，由轻量路由网络根据输入窗口统计量生成Softmax融合权重。在输入长度96、预测长度24的Abilene和GÉANT实验中，3个共同随机种子下本文方法相对DLinear的MSE分别降低4.07%和4.54%，相对LightTS分别降低29.80%和46.89%。8个随机种子的核心消融加入全局可学习权重和恒定输入路由两类固定权重对照；本文方法相对两者在Abilene上的逐种子平均MSE改进率均约为1.80%，在GÉANT上分别为4.31%和4.97%。GÉANT的两项配对95%置信区间均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Short-term fluctuations and slower trends coexist in backbone origin-destination traffic. Input-window statistics determine the Softmax weights used to combine DLinear experts at scales 1, 2, and 4. For input length 96 and forecast length 24, results from three common random seeds give MSE reductions of 4.07% on Abilene and 4.54% on GÉANT relative to DLinear. The corresponding reductions relative to LightTS are 29.80% and 46.89%. An eight-seed ablation adds two fixed-weight controls: learned global weights and a router receiving constant input. Mean seed-wise MSE reductions over the two controls are both about 1.80% on Abilene; on GÉANT, they are 4.31% and 4.97%, respectively. Both paired 95% confidence intervals on GÉANT include zero, and most of its pooled router-weight variance arises between seeds. Reliable window-specific scale selection therefore remains unconfirmed despite the average error reduction.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容量规划、拥塞预警、资源调度和流量工程需要预先判断骨干网络的流量状态。源—目的节点对（origin-destination，OD）流量直接对应不同节点对之间的通信需求，后续OD流量因此成为上述网络管理任务的预测对象。随着云计算、视频业务、数据中心互联及智能网络应用持续增加，网络内部的业务迁移和聚集更频繁；后续流量状态的时间变化也更加复杂，增加了预测的难度。周期变化、局部波动与突发变化常叠加在同一OD流量序列中，不同变量又有各自的数值范围。对较平稳单变量序列的趋势描述，难以完整覆盖这类OD数据中的复杂短时变化。预测模型需要同时处理较长时间趋势与短时状态变化，保留对后者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Lohrasbinasab等[1]系统梳理了网络流量预测方法，指出机器学习和深度学习等数据驱动方法在复杂流量预测中的应用不断增加，反映了传统统计模型之外的研究扩展。网络规模扩大也使OD变量之间的关联更难由单一序列的时间分析覆盖。Qin等[2]把图神经网络引入通信网络流量预测，在同一模型中处理空间关联和时间依赖；韦烜等[3]针对大型IP网络流量矩阵开展分析与预测，讨论了不同OD变量之间的关联及其时间变化。唐文杰等[4]则在CycleLLH模型中引入周期性信息。上述研究涉及的时间依赖、变量关联与周期结构，构成了流量预测的不同观察角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时间聚合能够平滑部分局部扰动，让较慢的变化趋势更易观察；未经聚合的原始分辨率则保留较多细节，短时起伏更清晰。同一流量序列的可观察特征由此随时间分辨率改变。在Zhou等[5]的多尺度网络流量预测研究中，深度回声状态网络从不同时间分辨率的序列中提取信息，以利用各分辨率之间的互补性。利用多尺度信息时，还需要控制模型的结构开销。DLinear[6]将时间序列分解与线性映射用于预测。不同分辨率序列在TimeMixer[7]中由多尺度混合机制处理，而LightTS[8]采用采样导向的MLP结构实现快速多变量时间序列预测。本文据此把多时间尺度信息与模型规模同时纳入设计要求，考察两者对预测结构的约束。</w:t>
      </w:r>
    </w:p>
    <w:p w14:paraId="65582279" w14:textId="77777777" w:rsidR="00B14FA3" w:rsidRPr="00B14FA3" w:rsidRDefault="00B14FA3" w:rsidP="00B14FA3">
      <w:pPr>
        <w:rPr>
          <w:color w:val="000000"/>
        </w:rPr>
      </w:pPr>
      <w:r>
        <w:rPr>
          <w:color w:val="000000"/>
          <w:szCs w:val="21"/>
        </w:rPr>
        <w:t>常见的多尺度处理预先给定时间尺度，分别计算各尺度结果，再按既定方式融合。不同输入窗口中的短时波动和平缓趋势占比并不相同，因而尺度1、2和4在预测中的作用可能随输入状态改变。仅使用单一尺度时，其他时间分辨率的信息无法保留；即使构造多尺度序列，固定的融合比例也没有把窗口状态差异用于权重计算。本文将当前输入窗口作为融合权重计算的依据。这样，在完成多个时间尺度的构造后，窗口状态也参与各尺度结果的组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针对输入窗口之间的状态差异，本文采用样本级自适应多尺度结构。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比较DLinear、LightTS、固定等权、全局可学习固定权重与恒定输入路由模型，并通过多个随机种子重复实验和路由权重分析检验预测误差、核心结构消融与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模型包含多尺度预测和尺度选择两个模块：尺度1、2和4的输入分别交给独立DLinear专家，路由网络根据当前窗口的统计特征估计3个尺度的融合权重。原始OD流量经对数变换和标准化后形成3个时间分辨率的输入序列；3个专家分别预测，再按样本级权重融合。固定等权、全局可学习权重与恒定输入路由对照采用相同的尺度与专家结构，并分别训练，用以比较等权、全局非等权与输入相关融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原始尺度的局部变化较完整，较粗尺度中的短时扰动则经时间聚合削弱，较慢的趋势更突出。三个时间尺度因而向模型提供平滑程度不同的历史信息。本文先保留3个尺度的独立预测结果，再通过路由网络确定每个样本的组合比例。专家统一采用结构较简洁的DLinear，既控制模型规模，也使多尺度输入与样本级融合的作用可在同一主干下比较。</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t xml:space="preserve">记预处理后的多变量流量序列为 </w:t>
      </w:r>
      <m:oMath>
        <m:sSub>
          <m:e>
            <m:r>
              <m:rPr>
                <m:sty m:val="b"/>
              </m:rPr>
              <m:t>x</m:t>
            </m:r>
          </m:e>
          <m:sub>
            <m:r>
              <m:t>t</m:t>
            </m:r>
          </m:sub>
        </m:sSub>
        <m:r>
          <m:rPr>
            <m:sty m:val="p"/>
          </m:rPr>
          <m:t>∈</m:t>
        </m:r>
        <m:sSup>
          <m:e>
            <m:r>
              <m:rPr>
                <m:scr m:val="double-struck"/>
                <m:sty m:val="p"/>
              </m:rPr>
              <m:t>R</m:t>
            </m:r>
          </m:e>
          <m:sup>
            <m:r>
              <m:t>C</m:t>
            </m:r>
          </m:sup>
        </m:sSup>
      </m:oMath>
      <w:r>
        <w:t>，其中t对应时间索引，C对应有效OD变量数。沿时间轴滑动连续序列，形成用于监督学习的窗口样本。第n个样本由历史窗口</w:t>
      </w:r>
      <m:oMath>
        <m:sSub>
          <m:e>
            <m:r>
              <m:rPr>
                <m:sty m:val="b"/>
              </m:rPr>
              <m:t>X</m:t>
            </m:r>
          </m:e>
          <m:sub>
            <m:r>
              <m:t>n</m:t>
            </m:r>
          </m:sub>
        </m:sSub>
      </m:oMath>
      <w:r>
        <w:t>及预测目标</w:t>
      </w:r>
      <m:oMath>
        <m:sSub>
          <m:e>
            <m:r>
              <m:rPr>
                <m:sty m:val="b"/>
              </m:rPr>
              <m:t>Y</m:t>
            </m:r>
          </m:e>
          <m:sub>
            <m:r>
              <m:t>n</m:t>
            </m:r>
          </m:sub>
        </m:sSub>
      </m:oMath>
      <w:r>
        <w:t>组成：</w:t>
      </w:r>
      <m:oMath>
        <m:sSub>
          <m:e>
            <m:r>
              <m:rPr>
                <m:sty m:val="b"/>
              </m:rPr>
              <m:t>X</m:t>
            </m:r>
          </m:e>
          <m:sub>
            <m:r>
              <m:t>n</m:t>
            </m:r>
          </m:sub>
        </m:sSub>
      </m:oMath>
      <w:r>
        <w:t>覆盖连续L个时间点，</w:t>
      </w:r>
      <m:oMath>
        <m:sSub>
          <m:e>
            <m:r>
              <m:rPr>
                <m:sty m:val="b"/>
              </m:rPr>
              <m:t>Y</m:t>
            </m:r>
          </m:e>
          <m:sub>
            <m:r>
              <m:t>n</m:t>
            </m:r>
          </m:sub>
        </m:sSub>
      </m:oMath>
      <w:r>
        <w:t>覆盖历史窗口之后连续的H个时间点。多个OD变量在过去L步内的联合变化提供历史信息，模型利用这些信息估计未来H步的取值。上述第n个样本的输入和目标可定义为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e>
            <m:r>
              <m:rPr>
                <m:sty m:val="b"/>
              </m:rPr>
              <m:t>X</m:t>
            </m:r>
          </m:e>
          <m:sub>
            <m:r>
              <m:t>n</m:t>
            </m:r>
          </m:sub>
        </m:sSub>
        <m:r>
          <m:rPr>
            <m:sty m:val="p"/>
          </m:rPr>
          <m:t>=</m:t>
        </m:r>
        <m:r>
          <m:rPr>
            <m:sty m:val="p"/>
          </m:rPr>
          <m:t>[</m:t>
        </m:r>
        <m:sSub>
          <m:e>
            <m:r>
              <m:rPr>
                <m:sty m:val="b"/>
              </m:rPr>
              <m:t>x</m:t>
            </m:r>
          </m:e>
          <m:sub>
            <m:r>
              <m:t>n</m:t>
            </m:r>
          </m:sub>
        </m:sSub>
        <m:r>
          <m:rPr>
            <m:sty m:val="p"/>
          </m:rPr>
          <m:t>,</m:t>
        </m:r>
        <m:r>
          <m:rPr>
            <m:sty m:val="p"/>
          </m:rPr>
          <m:t>…</m:t>
        </m:r>
        <m:r>
          <m:rPr>
            <m:sty m:val="p"/>
          </m:rPr>
          <m:t>,</m:t>
        </m:r>
        <m:sSub>
          <m:e>
            <m:r>
              <m:rPr>
                <m:sty m:val="b"/>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Y</m:t>
            </m:r>
          </m:e>
          <m:sub>
            <m:r>
              <m:t>n</m:t>
            </m:r>
          </m:sub>
        </m:sSub>
        <m:r>
          <m:rPr>
            <m:sty m:val="p"/>
          </m:rPr>
          <m:t>=</m:t>
        </m:r>
        <m:r>
          <m:rPr>
            <m:sty m:val="p"/>
          </m:rPr>
          <m:t>[</m:t>
        </m:r>
        <m:sSub>
          <m:e>
            <m:r>
              <m:rPr>
                <m:sty m:val="b"/>
              </m:rPr>
              <m:t>x</m:t>
            </m:r>
          </m:e>
          <m:sub>
            <m:r>
              <m:t>n</m:t>
            </m:r>
            <m:r>
              <m:rPr>
                <m:sty m:val="p"/>
              </m:rPr>
              <m:t>+</m:t>
            </m:r>
            <m:r>
              <m:t>L</m:t>
            </m:r>
          </m:sub>
        </m:sSub>
        <m:r>
          <m:rPr>
            <m:sty m:val="p"/>
          </m:rPr>
          <m:t>,</m:t>
        </m:r>
        <m:r>
          <m:rPr>
            <m:sty m:val="p"/>
          </m:rPr>
          <m:t>…</m:t>
        </m:r>
        <m:r>
          <m:rPr>
            <m:sty m:val="p"/>
          </m:rPr>
          <m:t>,</m:t>
        </m:r>
        <m:sSub>
          <m:e>
            <m:r>
              <m:rPr>
                <m:sty m:val="b"/>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t>本文以L=96步历史预测H=24步未来流量。变量数C取各数据集保留的有效OD维度数，模型需要学习的预测映射记为</w:t>
      </w:r>
      <m:oMath>
        <m:sSub>
          <m:e>
            <m:acc>
              <m:accPr>
                <m:chr m:val="̂"/>
              </m:accPr>
              <m:e>
                <m:r>
                  <m:rPr>
                    <m:sty m:val="b"/>
                  </m:rPr>
                  <m:t>Y</m:t>
                </m:r>
              </m:e>
            </m:acc>
          </m:e>
          <m:sub>
            <m:r>
              <m:t>n</m:t>
            </m:r>
          </m:sub>
        </m:sSub>
        <m:r>
          <m:rPr>
            <m:sty m:val="p"/>
          </m:rPr>
          <m:t>=</m:t>
        </m:r>
        <m:sSub>
          <m:e>
            <m:r>
              <m:t>f</m:t>
            </m:r>
          </m:e>
          <m:sub>
            <m:r>
              <m:t>θ</m:t>
            </m:r>
          </m:sub>
        </m:sSub>
        <m:r>
          <m:rPr>
            <m:sty m:val="p"/>
          </m:rPr>
          <m:t>(</m:t>
        </m:r>
        <m:sSub>
          <m:e>
            <m:r>
              <m:rPr>
                <m:sty m:val="b"/>
              </m:rPr>
              <m:t>X</m:t>
            </m:r>
          </m:e>
          <m:sub>
            <m:r>
              <m:t>n</m:t>
            </m:r>
          </m:sub>
        </m:sSub>
        <m:r>
          <m:rPr>
            <m:sty m:val="p"/>
          </m:rPr>
          <m:t>)</m:t>
        </m:r>
      </m:oMath>
      <w:r>
        <w:t>。一次预测读取的历史范围由L限定，需要连续输出的未来长度由H限定。各OD变量的原始流量均非负，但量级差异较大。直接在原始数值上训练时，数值范围较大的变量与其他变量尺度不一致，因此先压缩流量的数值范围，对原始流量</w:t>
      </w:r>
      <m:oMath>
        <m:sSub>
          <m:e>
            <m:r>
              <m:t>v</m:t>
            </m:r>
          </m:e>
          <m:sub>
            <m:r>
              <m:t>t</m:t>
            </m:r>
            <m:r>
              <m:rPr>
                <m:sty m:val="p"/>
              </m:rPr>
              <m:t>,</m:t>
            </m:r>
            <m:r>
              <m:t>c</m:t>
            </m:r>
          </m:sub>
        </m:sSub>
      </m:oMath>
      <w:r>
        <w:t>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t>其中</w:t>
      </w:r>
      <m:oMath>
        <m:sSubSup>
          <m:e>
            <m:r>
              <m:t>μ</m:t>
            </m:r>
          </m:e>
          <m:sub>
            <m:r>
              <m:t>c</m:t>
            </m:r>
          </m:sub>
          <m:sup>
            <m:r>
              <m:rPr>
                <m:sty m:val="p"/>
              </m:rPr>
              <m:t>t</m:t>
            </m:r>
            <m:r>
              <m:rPr>
                <m:sty m:val="p"/>
              </m:rPr>
              <m:t>r</m:t>
            </m:r>
          </m:sup>
        </m:sSubSup>
      </m:oMath>
      <w:r>
        <w:t>和</w:t>
      </w:r>
      <m:oMath>
        <m:sSubSup>
          <m:e>
            <m:r>
              <m:t>σ</m:t>
            </m:r>
          </m:e>
          <m:sub>
            <m:r>
              <m:t>c</m:t>
            </m:r>
          </m:sub>
          <m:sup>
            <m:r>
              <m:rPr>
                <m:sty m:val="p"/>
              </m:rPr>
              <m:t>t</m:t>
            </m:r>
            <m:r>
              <m:rPr>
                <m:sty m:val="p"/>
              </m:rPr>
              <m:t>r</m:t>
            </m:r>
          </m:sup>
        </m:sSubSup>
      </m:oMath>
      <w:r>
        <w:t>分别表示训练集中第c个OD变量的均值与标准差。预处理验证集和测试集时，使用的仍是训练阶段这组统计量，不在这两个集合上重新估计。log(1+x)在保留非负流量大小关系的同时压缩数值范围，缓和原始流量的量级差异。后续标准化按变量进行，各OD维度以相近的数值尺度参与训练；损失计算及参数更新中，各变量所用的尺度也由这一步统一。数据按时间先后划为训练集、验证集、测试集，比例仍为6∶2∶2。各集合独立生成内部滑动窗口，窗口不跨越集合之间的划分边界。</w:t>
      </w:r>
    </w:p>
    <w:p>
      <w:pPr/>
      <w:r>
        <w:t>各尺度共用同一历史窗口，其时间分辨率在预处理阶段保持不变。随后构造不同尺度的序列，使各专家分别观察细粒度变化与较平滑的趋势。</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082369"/>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082369"/>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keepNext/>
        <w:keepLines/>
        <w:spacing w:line="360" w:lineRule="auto"/>
      </w:pPr>
      <w:r w:rsidRPr="00B14FA3">
        <w:rPr>
          <w:szCs w:val="21"/>
        </w:rPr>
        <w:t>设尺度集合S={1,2,4}。时间维聚合采用非重叠平均池化，窗口大小由尺度s指定，步长也取s。对任一尺度s，按照这一窗口与步长进行的池化为：</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keepLines/>
        <w:spacing w:line="360" w:lineRule="auto"/>
      </w:pPr>
      <w:r w:rsidRPr="00B14FA3">
        <w:rPr>
          <w:szCs w:val="21"/>
        </w:rPr>
        <w:t>本文使用尺度集合S={1,2,4}。对于L=96的输入，尺度1直接保留原始96步序列。尺度2以相邻2个时间点的平均值作为聚合值，形成48步序列；尺度4则以每4个时间点的平均值作为一个聚合点，形成24步序列。尺度1不压缩时间轴，因此较完整地保留短时起伏；尺度2对局部变化作适度平滑；尺度4进一步削弱短时间内的高频变化，较慢的趋势由此更突出。构造多分辨率输入时，本文选择无需训练参数的平均池化。尺度变换不另设可训练模块，因此输入构造本身没有新增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widowControl/>
      </w:pPr>
      <w:r>
        <w:t>96步历史窗口采用尺度1、2和4时，可形成三组长度均为整数的序列；这一设置也同时控制了尺度专家的数量。若继续增加尺度，得到的序列会更粗，其有效时间长度也随之缩短；增加相应尺度的预测还需要新的专家分支。本文按细粒度信息、趋势信息与模型规模之间的取舍，固定使用尺度组合{1,2,4}。该组合没有经过穷举搜索，其最优性仍未经验证。非重叠池化中，一个原始时间点仅参与一次同尺度聚合，因而各尺度所对应的时间聚合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t>尺度1、2和4各自使用一个DLinear专家[6]，每个专家只接收对应尺度的序列，输入在专家之间分开处理。DLinear先把序列分解为变化较慢的趋势项和围绕趋势变化的余项，再分别对两项作时间映射。对尺度s的输入，本文使用长度q=25的中心移动平均提取趋势项。平滑在移动平均的局部时间邻域内完成。边界位置不足一个完整窗口时，缺少的部分用端点复制补齐，避免序列长度缩短；补齐后的序列记为</w:t>
      </w:r>
      <m:oMath>
        <m:sSup>
          <m:e>
            <m:acc>
              <m:accPr>
                <m:chr m:val="̃"/>
              </m:accPr>
              <m:e>
                <m:r>
                  <m:rPr>
                    <m:sty m:val="b"/>
                  </m:rPr>
                  <m:t>X</m:t>
                </m:r>
              </m:e>
            </m:acc>
          </m:e>
          <m:sup>
            <m:r>
              <m:rPr>
                <m:sty m:val="p"/>
              </m:rPr>
              <m:t>(</m:t>
            </m:r>
            <m:r>
              <m:t>s</m:t>
            </m:r>
            <m:r>
              <m:rPr>
                <m:sty m:val="p"/>
              </m:rPr>
              <m:t>)</m:t>
            </m:r>
          </m:sup>
        </m:sSup>
      </m:oMath>
      <w:r>
        <w:t>；越界索引取最近端点值，从而保持分解前后的时间长度一致：</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R</m:t>
            </m:r>
          </m:e>
          <m:sub>
            <m:r>
              <m:t>n</m:t>
            </m:r>
          </m:sub>
          <m:sup>
            <m:r>
              <m:rPr>
                <m:sty m:val="p"/>
              </m:rPr>
              <m:t>(</m:t>
            </m:r>
            <m:r>
              <m:t>s</m:t>
            </m:r>
            <m:r>
              <m:rPr>
                <m:sty m:val="p"/>
              </m:rPr>
              <m:t>)</m:t>
            </m:r>
          </m:sup>
        </m:sSubSup>
        <m:r>
          <m:rPr>
            <m:sty m:val="p"/>
          </m:rPr>
          <m:t>=</m:t>
        </m:r>
        <m:sSubSup>
          <m:e>
            <m:r>
              <m:rPr>
                <m:sty m:val="b"/>
              </m:rPr>
              <m:t>X</m:t>
            </m:r>
          </m:e>
          <m:sub>
            <m:r>
              <m:t>n</m:t>
            </m:r>
          </m:sub>
          <m:sup>
            <m:r>
              <m:rPr>
                <m:sty m:val="p"/>
              </m:rPr>
              <m:t>(</m:t>
            </m:r>
            <m:r>
              <m:t>s</m:t>
            </m:r>
            <m:r>
              <m:rPr>
                <m:sty m:val="p"/>
              </m:rPr>
              <m:t>)</m:t>
            </m:r>
          </m:sup>
        </m:sSubSup>
        <m:r>
          <m:rPr>
            <m:sty m:val="p"/>
          </m:rPr>
          <m:t>−</m:t>
        </m:r>
        <m:sSubSup>
          <m:e>
            <m:r>
              <m:rPr>
                <m:sty m:val="b"/>
              </m:rPr>
              <m:t>T</m:t>
            </m:r>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t>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沿时间维分别通过线性层映射到预测长度H：</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acc>
              <m:accPr>
                <m:chr m:val="̂"/>
              </m:accPr>
              <m:e>
                <m:r>
                  <m:rPr>
                    <m:sty m:val="b"/>
                  </m:rPr>
                  <m:t>Y</m:t>
                </m:r>
              </m:e>
            </m:acc>
          </m:e>
          <m:sub>
            <m:r>
              <m:t>n</m:t>
            </m:r>
          </m:sub>
          <m:sup>
            <m:r>
              <m:rPr>
                <m:sty m:val="p"/>
              </m:rPr>
              <m:t>(</m:t>
            </m:r>
            <m:r>
              <m:t>s</m:t>
            </m:r>
            <m:r>
              <m:rPr>
                <m:sty m:val="p"/>
              </m:rPr>
              <m:t>)</m:t>
            </m:r>
          </m:sup>
        </m:sSubSup>
        <m:r>
          <m:rPr>
            <m:sty m:val="p"/>
          </m:rPr>
          <m:t>=</m:t>
        </m:r>
        <m:sSubSup>
          <m:e>
            <m:r>
              <m:rPr>
                <m:sty m:val="b"/>
              </m:rPr>
              <m:t>W</m:t>
            </m:r>
          </m:e>
          <m:sub>
            <m:r>
              <m:t>T</m:t>
            </m:r>
          </m:sub>
          <m:sup>
            <m:r>
              <m:rPr>
                <m:sty m:val="p"/>
              </m:rPr>
              <m:t>(</m:t>
            </m:r>
            <m:r>
              <m:t>s</m:t>
            </m:r>
            <m:r>
              <m:rPr>
                <m:sty m:val="p"/>
              </m:rPr>
              <m:t>)</m:t>
            </m:r>
          </m:sup>
        </m:sSubSup>
        <m:sSubSup>
          <m:e>
            <m:r>
              <m:rPr>
                <m:sty m:val="b"/>
              </m:rPr>
              <m:t>T</m:t>
            </m:r>
          </m:e>
          <m:sub>
            <m:r>
              <m:t>n</m:t>
            </m:r>
          </m:sub>
          <m:sup>
            <m:r>
              <m:rPr>
                <m:sty m:val="p"/>
              </m:rPr>
              <m:t>(</m:t>
            </m:r>
            <m:r>
              <m:t>s</m:t>
            </m:r>
            <m:r>
              <m:rPr>
                <m:sty m:val="p"/>
              </m:rPr>
              <m:t>)</m:t>
            </m:r>
          </m:sup>
        </m:sSubSup>
        <m:r>
          <m:rPr>
            <m:sty m:val="p"/>
          </m:rPr>
          <m:t>+</m:t>
        </m:r>
        <m:sSubSup>
          <m:e>
            <m:r>
              <m:rPr>
                <m:sty m:val="b"/>
              </m:rPr>
              <m:t>b</m:t>
            </m:r>
          </m:e>
          <m:sub>
            <m:r>
              <m:t>T</m:t>
            </m:r>
          </m:sub>
          <m:sup>
            <m:r>
              <m:rPr>
                <m:sty m:val="p"/>
              </m:rPr>
              <m:t>(</m:t>
            </m:r>
            <m:r>
              <m:t>s</m:t>
            </m:r>
            <m:r>
              <m:rPr>
                <m:sty m:val="p"/>
              </m:rPr>
              <m:t>)</m:t>
            </m:r>
          </m:sup>
        </m:sSubSup>
        <m:r>
          <m:rPr>
            <m:sty m:val="p"/>
          </m:rPr>
          <m:t>+</m:t>
        </m:r>
        <m:sSubSup>
          <m:e>
            <m:r>
              <m:rPr>
                <m:sty m:val="b"/>
              </m:rPr>
              <m:t>W</m:t>
            </m:r>
          </m:e>
          <m:sub>
            <m:r>
              <m:t>R</m:t>
            </m:r>
          </m:sub>
          <m:sup>
            <m:r>
              <m:rPr>
                <m:sty m:val="p"/>
              </m:rPr>
              <m:t>(</m:t>
            </m:r>
            <m:r>
              <m:t>s</m:t>
            </m:r>
            <m:r>
              <m:rPr>
                <m:sty m:val="p"/>
              </m:rPr>
              <m:t>)</m:t>
            </m:r>
          </m:sup>
        </m:sSubSup>
        <m:sSubSup>
          <m:e>
            <m:r>
              <m:rPr>
                <m:sty m:val="b"/>
              </m:rPr>
              <m:t>R</m:t>
            </m:r>
          </m:e>
          <m:sub>
            <m:r>
              <m:t>n</m:t>
            </m:r>
          </m:sub>
          <m:sup>
            <m:r>
              <m:rPr>
                <m:sty m:val="p"/>
              </m:rPr>
              <m:t>(</m:t>
            </m:r>
            <m:r>
              <m:t>s</m:t>
            </m:r>
            <m:r>
              <m:rPr>
                <m:sty m:val="p"/>
              </m:rPr>
              <m:t>)</m:t>
            </m:r>
          </m:sup>
        </m:sSubSup>
        <m:r>
          <m:rPr>
            <m:sty m:val="p"/>
          </m:rPr>
          <m:t>+</m:t>
        </m:r>
        <m:sSubSup>
          <m:e>
            <m:r>
              <m:rPr>
                <m:sty m:val="b"/>
              </m:rPr>
              <m:t>b</m:t>
            </m:r>
          </m:e>
          <m:sub>
            <m:r>
              <m:t>R</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t>由式（6）和式（7）可得到尺度s上的趋势项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pPr/>
      <w:r>
        <w:t>预测误差同时可能受到主干结构和融合方式影响。为减少比较融合方式时的主干干扰，本文把各尺度专家统一设置为DLinear。本文需要比较单尺度预测、固定等权、全局可学习固定权重、恒定输入路由和样本级路由五种设置；若尺度专家本身过于复杂，误差变化会同时受到主干结构和融合机制影响。DLinear的参数关系清晰，且保留基本预测能力，适合承担当中的统一尺度专家。上述设置共用专家结构，因而便于分别考察预测主干与尺度融合的影响。</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keepLines/>
        <w:spacing w:line="360" w:lineRule="auto"/>
      </w:pPr>
      <w:r>
        <w:t>3个DLinear专家分别给出同一样本的3组预测结果；形成最终输出时，需要确定各组结果所占的比例。令3个尺度始终各占1/3，全部输入窗口便使用同一融合比例。然而窗口状态有差别：局部波动较强时，细粒度信息可能更有用；变化平稳时，较粗尺度保留的趋势信息可能更有用。为使融合比例随样本状态变化，本文以窗口统计量参与权重计算。具体从原始输入</w:t>
      </w:r>
      <m:oMath>
        <m:sSub>
          <m:e>
            <m:r>
              <m:rPr>
                <m:sty m:val="b"/>
              </m:rPr>
              <m:t>X</m:t>
            </m:r>
          </m:e>
          <m:sub>
            <m:r>
              <m:t>n</m:t>
            </m:r>
          </m:sub>
        </m:sSub>
      </m:oMath>
      <w:r>
        <w:t>提取四维统计向量</w:t>
      </w:r>
      <m:oMath>
        <m:sSub>
          <m:e>
            <m:r>
              <m:rPr>
                <m:sty m:val="b"/>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t>，用这些统计量描述当前窗口状态，其中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m:oMath>
        <m:sSub>
          <m:e>
            <m:r>
              <m:t>μ</m:t>
            </m:r>
          </m:e>
          <m:sub>
            <m:r>
              <m:t>n</m:t>
            </m:r>
          </m:sub>
        </m:sSub>
      </m:oMath>
      <w:r>
        <w:t>、</w:t>
      </w:r>
      <m:oMath>
        <m:sSub>
          <m:e>
            <m:r>
              <m:t>σ</m:t>
            </m:r>
          </m:e>
          <m:sub>
            <m:r>
              <m:t>n</m:t>
            </m:r>
          </m:sub>
        </m:sSub>
      </m:oMath>
      <w:r>
        <w:t>、</w:t>
      </w:r>
      <m:oMath>
        <m:sSub>
          <m:e>
            <m:r>
              <m:t>ℓ</m:t>
            </m:r>
          </m:e>
          <m:sub>
            <m:r>
              <m:t>n</m:t>
            </m:r>
          </m:sub>
        </m:sSub>
      </m:oMath>
      <w:r>
        <w:t>和</w:t>
      </w:r>
      <m:oMath>
        <m:sSub>
          <m:e>
            <m:r>
              <m:t>d</m:t>
            </m:r>
          </m:e>
          <m:sub>
            <m:r>
              <m:t>n</m:t>
            </m:r>
          </m:sub>
        </m:sSub>
      </m:oMath>
      <w:r>
        <w:t>分别描述输入窗口的总体水平、离散程度、最近状态和平均变化强度。</w:t>
      </w:r>
      <m:oMath>
        <m:sSub>
          <m:e>
            <m:r>
              <m:t>μ</m:t>
            </m:r>
          </m:e>
          <m:sub>
            <m:r>
              <m:t>n</m:t>
            </m:r>
          </m:sub>
        </m:sSub>
      </m:oMath>
      <w:r>
        <w:t>反映窗口整体流量水平，</w:t>
      </w:r>
      <m:oMath>
        <m:sSub>
          <m:e>
            <m:r>
              <m:t>σ</m:t>
            </m:r>
          </m:e>
          <m:sub>
            <m:r>
              <m:t>n</m:t>
            </m:r>
          </m:sub>
        </m:sSub>
      </m:oMath>
      <w:r>
        <w:t>刻画观测值的离散程度，</w:t>
      </w:r>
      <m:oMath>
        <m:sSub>
          <m:e>
            <m:r>
              <m:t>ℓ</m:t>
            </m:r>
          </m:e>
          <m:sub>
            <m:r>
              <m:t>n</m:t>
            </m:r>
          </m:sub>
        </m:sSub>
      </m:oMath>
      <w:r>
        <w:t>取窗口末时刻的平均状态，</w:t>
      </w:r>
      <m:oMath>
        <m:sSub>
          <m:e>
            <m:r>
              <m:t>d</m:t>
            </m:r>
          </m:e>
          <m:sub>
            <m:r>
              <m:t>n</m:t>
            </m:r>
          </m:sub>
        </m:sSub>
      </m:oMath>
      <w:r>
        <w:t>由相邻时间点的一阶变化得到。这4个统计量分别提供水平、波动、最近状态和局部变化信息，供路由器计算输入相关的尺度权重，而不直接参与未来流量数值的预测。</w:t>
      </w:r>
    </w:p>
    <w:p>
      <w:pPr/>
      <w:r>
        <w:t>路由器使用两层感知器，四维统计向量为输入，隐藏维数为16，输出3个尺度的未归一化分数。路由器的任务限于计算尺度融合分数，完整OD流量的预测任务仍交给尺度专家。路由计算采用低维统计量与较小隐藏层，参数规模因而保持较低。本文没有再引入循环网络、注意力网络等额外的时序编码器。其尺度分数计算为</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a</m:t>
            </m:r>
          </m:e>
          <m:sub>
            <m:r>
              <m:t>n</m:t>
            </m:r>
          </m:sub>
        </m:sSub>
        <m:r>
          <m:rPr>
            <m:sty m:val="p"/>
          </m:rPr>
          <m:t>=</m:t>
        </m:r>
        <m:sSub>
          <m:e>
            <m:r>
              <m:rPr>
                <m:sty m:val="b"/>
              </m:rPr>
              <m:t>W</m:t>
            </m:r>
          </m:e>
          <m:sub>
            <m:r>
              <m:t>2</m:t>
            </m:r>
          </m:sub>
        </m:sSub>
        <m:r>
          <m:rPr>
            <m:sty m:val="p"/>
          </m:rPr>
          <m:t>ReLU</m:t>
        </m:r>
        <m:r>
          <m:rPr>
            <m:sty m:val="p"/>
          </m:rPr>
          <m:t>(</m:t>
        </m:r>
        <m:sSub>
          <m:e>
            <m:r>
              <m:rPr>
                <m:sty m:val="b"/>
              </m:rPr>
              <m:t>W</m:t>
            </m:r>
          </m:e>
          <m:sub>
            <m:r>
              <m:t>1</m:t>
            </m:r>
          </m:sub>
        </m:sSub>
        <m:sSub>
          <m:e>
            <m:r>
              <m:rPr>
                <m:sty m:val="b"/>
              </m:rPr>
              <m:t>z</m:t>
            </m:r>
          </m:e>
          <m:sub>
            <m:r>
              <m:t>n</m:t>
            </m:r>
          </m:sub>
        </m:sSub>
        <m:r>
          <m:rPr>
            <m:sty m:val="p"/>
          </m:rPr>
          <m:t>+</m:t>
        </m:r>
        <m:sSub>
          <m:e>
            <m:r>
              <m:rPr>
                <m:sty m:val="b"/>
              </m:rPr>
              <m:t>b</m:t>
            </m:r>
          </m:e>
          <m:sub>
            <m:r>
              <m:t>1</m:t>
            </m:r>
          </m:sub>
        </m:sSub>
        <m:r>
          <m:rPr>
            <m:sty m:val="p"/>
          </m:rPr>
          <m:t>)</m:t>
        </m:r>
        <m:r>
          <m:rPr>
            <m:sty m:val="p"/>
          </m:rPr>
          <m:t>+</m:t>
        </m:r>
        <m:sSub>
          <m:e>
            <m:r>
              <m:rPr>
                <m:sty m:val="b"/>
              </m:rPr>
              <m:t>b</m:t>
            </m:r>
          </m:e>
          <m:sub>
            <m:r>
              <m:t>2</m:t>
            </m:r>
          </m:sub>
        </m:sSub>
        <m:r>
          <m:rPr>
            <m:sty m:val="p"/>
          </m: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keepNext/>
        <w:keepLines/>
        <w:spacing w:line="360" w:lineRule="auto"/>
      </w:pPr>
      <w:r>
        <w:rPr>
          <w:szCs w:val="21"/>
        </w:rPr>
        <w:t>对式（11）的3个尺度分数作Softmax归一化，得到3个总和为1的非负权重；各专家在最终预测中的相对贡献由这些权重表示：</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acc>
              <m:accPr>
                <m:chr m:val="̂"/>
              </m:accPr>
              <m:e>
                <m:r>
                  <m:rPr>
                    <m:sty m:val="b"/>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
                  </m:rPr>
                  <m:t>Y</m:t>
                </m:r>
              </m:e>
            </m:acc>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widowControl/>
        <w:spacing w:line="360" w:lineRule="auto"/>
      </w:pPr>
      <w:r>
        <w:t>式（13）利用上述权重对3个DLinear专家的预测结果进行加权求和，得到最终预测</w:t>
      </w:r>
      <m:oMath>
        <m:sSub>
          <m:e>
            <m:acc>
              <m:accPr>
                <m:chr m:val="̂"/>
              </m:accPr>
              <m:e>
                <m:r>
                  <m:rPr>
                    <m:sty m:val="b"/>
                  </m:rPr>
                  <m:t>Y</m:t>
                </m:r>
              </m:e>
            </m:acc>
          </m:e>
          <m:sub>
            <m:r>
              <m:t>n</m:t>
            </m:r>
          </m:sub>
        </m:sSub>
      </m:oMath>
      <w:r>
        <w:t>。该组权重由输入窗口计算，并由同一窗口内的全部OD变量共享。为了区分多尺度结构、非等权分配与样本相关分配的作用，设置三种共享相同专家的对照：固定等权模型将三个尺度恒定设为1/3；全局可学习权重模型以三个可训练参数经Softmax得到一组常权重；恒定输入路由模型保留完整路由网络，但训练和推理时都向路由器输入全零窗口，使全部样本共用一组可学习权重。三种模型的尺度专家均接收真实历史窗口。</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keepNext/>
        <w:keepLines/>
        <w:spacing w:line="360" w:lineRule="auto"/>
      </w:pPr>
      <w:r w:rsidRPr="00B14FA3">
        <w:rPr>
          <w:szCs w:val="21"/>
        </w:rPr>
        <w:t>本文以均方误差训练模型。损失在训练样本、未来H个预测时刻以及全部C个OD变量上计算，覆盖不同预测步与不同OD维度的偏差。各项偏差在同一目标中汇总，用于模型参数更新。对应训练目标为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训练采用Adam优化器更新参数，并根据验证集MSE选择最终使用的模型。可训练参数在单尺度DLinear中为4656个，在三个尺度专家的固定等权模型中为8208个。在后者基础上增加三个全局权重参数，总数为8211个。样本级路由模型与恒定输入路由模型的标称参数数目相同，均为8339个。路由网络的参数增量相对固定等权模型为131个，相对全局权重模型为128个。恒定输入路由保留与样本级路由相同的网络结构，但输入恒为零，其首层输入权重不参与有效计算。</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widowControl/>
      </w:pPr>
      <w:r>
        <w:t>模型计算依次经过三个环节：平均池化把同一历史窗口转换为3个时间分辨率，DLinear专家分别给出候选预测，路由网络再根据原始窗口的4个统计量确定融合权重。后续实验据此设置单尺度DLinear、固定等权多尺度、全局可学习固定权重模型、恒定输入路由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分为外部基线比较、核心消融和路由行为分析三个层次。LightTS提供独立结构的外部基线，DLinear提供单尺度参照；固定等权、全局可学习常权重、恒定输入路由与样本级路由模型采用相同的三个尺度专家结构，并分别训练，分别比较多尺度结构、非等权融合与输入相关权重的表现；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本文从CESNET TS-Zoo[9]获取实验数据，采用按1 h聚合的Abilene[10]与GÉANT[11]骨干网流量矩阵进行预测实验。Abilene共有4656个时间点，保留144维有效OD流量；GÉANT共有2849个时间点，去除恒定通道后保留524维有效OD流量。两套数据在序列长度与变量规模上不同，分别运行同一预测流程，可以观察其在不同数据条件下的表现。两个数据集均沿时间顺序划分，依次得到训练集、验证集、测试集，比例为6∶2∶2。输入长度统一设为L=96，预测长度统一设为H=24。预处理按第1.1节执行，数据规模及窗口数量见表1。</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为控制数据与训练条件，实验未分别搜索各模型的最优超参数。DLinear、固定等权多尺度、全局可学习权重、恒定输入路由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widowControl/>
      </w:pPr>
      <w:r>
        <w:t>外部基线比较使用随机种子42～44共3个共同随机种子。核心消融使用随机种子42～49共8个共同随机种子，比较DLinear、固定等权多尺度、全局可学习权重、恒定输入路由和本文方法。全局权重由等权初始化，恒定输入路由对所有窗口使用全零路由输入；两者均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照包括DLinear、LightTS、固定等权多尺度、全局可学习权重和恒定输入路由五类模型。DLinear用于比较单一尺度与多尺度结构；LightTS提供独立轻量模型基线。后三种多尺度对照与本文方法保留相同的尺度集合{1,2,4}和DLinear专家，分别使用等权、全局可学习权重和恒定输入路由权重。后两者均对全部窗口使用一组固定权重，可检验完整模型相对常权重方案的误差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均方误差（MSE）、平均绝对误差（MAE）及均方根误差（RMSE）用于评价预测性能。其中MSE采用式（14），MAE和RMSE的定义如下</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0"/>
        </w:rPr>
        <w:tab/>
        <w:t>(16)</w:t>
      </w:r>
    </w:p>
    <w:p w14:paraId="015A2BBD" w14:textId="77777777" w:rsidR="00B14FA3" w:rsidRPr="00B14FA3" w:rsidRDefault="00B14FA3" w:rsidP="00B14FA3">
      <w:r>
        <w:rPr>
          <w:color w:val="000000"/>
          <w:szCs w:val="21"/>
        </w:rPr>
        <w:t>本文在标准化空间中计算全部误差指标，以较小值表示较低误差。正文的主要指标为MSE和MAE：MSE对较大误差更敏感，MAE描述平均绝对偏差；误差幅值由RMSE补充，其定义为MSE的平方根。随机种子42～44的结果在表2中以均值±标准差列出；随机种子42～49的结果在表3中采用同一统计形式。均值对应平均水平，种子间波动由标准差表示。相对改进率也以共同随机种子配对计算，先获得每个种子的改进率，再取这些改进率的平均值；表内四舍五入后的均值不直接用于计算该百分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也以DLinear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以LightTS为独立外部基线，使用两种方法共有的随机种子42～44。每次实验的相对降低率按（LightTS误差−本文方法误差）/LightTS误差计算。MSE、MAE和RMSE的平均降幅在Abilene上为29.80%、17.57%和16.23%，在GÉANT上为46.89%、29.15%和27.18%。逐种子检查这三项指标，两个数据集的3个共同随机种子均有改善。本文方法的8339个参数，约为LightTS在Abilene和GÉANT上参数量的6.41%和2.17%；LightTS的对应参数量分别为130162和384382。</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GÉANT的OD变量数较多，本文方法相对LightTS的MSE降幅也高于Abilene。不过，两者同时出现不能确立变量规模与误差降幅之间的因果关系。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表3汇总随机种子42～49的8次核心消融，列出五种模型的参数量、MSE和MAE。</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0.181±0.006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0.379±0.007</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pPr>
            <w:r>
              <w:rPr>
                <w:color w:val="000000"/>
                <w:szCs w:val="21"/>
              </w:rPr>
              <w:t>0.366±0.018</w:t>
            </w:r>
          </w:p>
        </w:tc>
      </w:tr>
    </w:tbl>
    <w:p>
      <w:pPr/>
      <w:r>
        <w:t>全局可学习权重与恒定输入路由均对所有窗口使用一组可学习权重，后者与本文方法同为8339个标称参数。相对这两种对照，本文方法在Abilene上的逐种子平均MSE改进均约1.80%，在GÉANT上分别为4.31%和4.97%，各有6/8和7/8个种子胜出。相对恒定输入路由的95%置信区间分别为[0.49%,3.11%]和[−1.62%,11.56%]，相对全局权重则为[0.01%,3.58%]和[−2.51%,11.13%]；GÉANT两项区间均跨零。</w:t>
      </w:r>
    </w:p>
    <w:p w14:paraId="68B92BCA" w14:textId="77777777" w:rsidR="00B14FA3" w:rsidRPr="00B14FA3" w:rsidRDefault="00B14FA3" w:rsidP="00B14FA3">
      <w:pPr>
        <w:keepLines/>
      </w:pPr>
      <w:r>
        <w:rPr>
          <w:color w:val="000000"/>
          <w:szCs w:val="21"/>
        </w:rPr>
        <w:t>图3比较本文方法与DLinear、固定等权多尺度模型的MSE、MAE及RMSE，结果均来自随机种子42～49。0%虚线对应两种方法误差相同，可据此判断改进方向。每个种子的结果以散点保留，8次结果的分布用半小提琴展示；8次改进率的均值与95%置信区间分别由黑色菱形及横向误差线表示。相对DLinear时，Abilene的MSE、MAE和RMSE平均改进率为2.77%、8.01%和1.40%，其中MSE与RMSE在8次实验中均改善；GÉANT分别为2.35%、1.32%和1.22%，且跨越0%的情况更多。相对固定等权模型时，Abilene三项指标的平均改进率为1.65%、8.92%和0.84%，GÉANT为4.54%、3.05%和2.37%。相对两种基线得到的平均改进率均为正值。与此同时，GÉANT不同随机种子之间的波动较明显；判断平均收益是否稳定，仍需同时观察图中的置信区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663571"/>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715000" cy="26635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widowControl/>
      </w:pPr>
      <w:r>
        <w:t>等权融合由固定等权模型检验。全局可学习权重与恒定输入路由模型则分别提供常权重对照，共同用于观察改变融合方式后的误差。表3中本文方法相对两者的平均MSE均较低，但GÉANT的配对区间均跨越零；其中种子43相对恒定输入路由退步12.78%。各模型的训练彼此独立，恒定输入路由还存在首层输入权重不起作用的结构差异。因此，误差比较针对完整方法和两类常权重方案，尚不能从中唯一识别逐窗口权重变化的贡献。图4用于进一步观察整体偏差及局部误差。整体偏差从全测试点汇总，局部误差则结合按真实值波动选取的预测轨迹考察。</w:t>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349240" cy="3913661"/>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349240" cy="3913661"/>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Abilene与GÉANT全测试点预测校准及典型窗口预测轨迹</w:t>
      </w:r>
      <w:r>
        <w:rPr>
          <w:rFonts w:eastAsia="黑体"/>
          <w:b/>
          <w:sz w:val="18"/>
          <w:szCs w:val="18"/>
        </w:rPr>
      </w:r>
      <w:r>
        <w:rPr>
          <w:rFonts w:eastAsia="黑体"/>
          <w:b/>
          <w:sz w:val="18"/>
          <w:szCs w:val="18"/>
        </w:rPr>
      </w:r>
      <w:r>
        <w:rPr>
          <w:rFonts w:eastAsia="黑体"/>
          <w:b/>
          <w:sz w:val="18"/>
          <w:szCs w:val="18"/>
        </w:rPr>
      </w:r>
    </w:p>
    <w:p>
      <w:pPr>
        <w:keepNext w:val="0"/>
        <w:keepLines/>
      </w:pPr>
      <w:r>
        <w:t>图4(a、b)的统计覆盖随机种子42～49，纳入全部测试窗口中的24个预测步和全部有效OD通道。四种模型的曲线采用分组平均预测值：真实值按分位点划为最多40个区间，每个区间汇总8种子的预测值并取平均。灰色虚线给出理想预测位置，浅色带给出种子间±1个标准差。在高真实值区间，四种模型的预测都偏低。本文方法的分组平均偏差相对较小；这是区间平均层面的比较，不能替代各测试点的误差比较。图4(c～f)固定随机种子42，仅根据真实序列选择标准差接近第75百分位的OD通道，再选择波动程度接近中位数和第90百分位的窗口。选取通道和窗口的上述过程只使用真实序列，未依据模型误差挑选案例。本文方法在四例中的三例取得较低的24步均方误差，均低于DLinear、固定等权和恒定输入路由模型；Abilene典型波动窗口是例外，本文方法在该例中较差。总体精度以表3的配对统计判断，所选轨迹只解释这些窗口内的局部预测行为。测试窗口存在重叠，统计中不将重叠窗口视作独立重复。</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随机种子42～49下三个尺度的路由权重汇总于图5。全部测试窗口及种子共同形成各尺度的小提琴分布，蓝、绿、橙色依次对应尺度1、2和4。彩色散点以种子为单位，每个点取同一种子全部测试窗口的平均权重。黑色菱形和误差线在此基础上汇总8个种子均值，表示其均值±1个标准差。固定等权1/3由水平虚线标示，汇总分布中位数由短横线标示。种子间与窗口间差异都包含在小提琴分布中，宽度受二者共同影响。判断同一种子内的窗口响应强度时，不能直接使用这种混合分布的宽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三个尺度在Abilene上的汇总平均权重依次为0.257、0.319和0.424，在GÉANT上依次为0.283、0.318和0.399。这些总体均值均偏离固定等权的1/3。从汇总权重方差的来源看，GÉANT三个尺度中约96.2%、95.8%和97.7%的方差来自种子间差异。Abilene对应的比例分别为48.7%、86.1%和80.6%。在GÉANT的同一种子内部，随窗口发生的权重变化较小。图5展示的汇总分布，把种子间差异与同一种子内部的窗口差异放在一起。若仅依据这一分布判断路由机制，仍缺少路由器能否有效识别各窗口尺度需求的证据。</w:t>
      </w:r>
    </w:p>
    <w:p w14:paraId="2B7D35DC" w14:textId="77777777" w:rsidR="00B14FA3" w:rsidRPr="00B14FA3" w:rsidRDefault="00B14FA3" w:rsidP="00B14FA3">
      <w:r>
        <w:rPr>
          <w:color w:val="000000"/>
          <w:szCs w:val="21"/>
        </w:rPr>
        <w:t>输入窗口的波动强度由平均绝对一阶差分度量。分组阈值取自训练窗口的三分位数，测试窗口按这些阈值分组。Abilene低、中、高波动组分别有15、406、392个窗口。本文方法相对全局权重模型的逐种子平均MSE改进率分别为4.43%、1.90%、1.69%；GÉANT在训练阈值下无低波动测试窗口，中、高组分别有76、375个窗口，改进率为5.85%和4.06%。在Abilene上，高波动组的尺度1平均权重高于中波动组，而相应的误差优势没有增强。GÉANT中波动组与高波动组的权重则近似相同。依据这些分组结果，当前还不能支持“波动越强，路由收益越大”的机制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val="0"/>
        <w:keepLines/>
      </w:pPr>
      <w:r>
        <w:t>前向计算开销通过另一次计时测量。计时采用预测长度为24的8个随机种子检查点，运行设备为NVIDIA GTX 1060；测试张量预先加载，批量大小设为16。本文方法在Abilene和GÉANT上的平均每批前向耗时分别为2.65 ms和2.61 ms，固定等权模型分别为2.38 ms和2.10 ms，单尺度DLinear分别为0.77 ms和0.70 ms。数据读取及传输不在这组前向计时内，报告的耗时仅覆盖模型前向计算。端到端部署时延需要另计这两部分。较小的参数量并未消除额外计算：三个尺度专家与路由器仍使本文方法的推理开销增加。</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的多尺度预测结构同时处理骨干网络OD流量的短时波动与较慢趋势：尺度1、2和4的DLinear专家分别预测，轻量路由网络计算输入相关融合权重，再组合各专家结果。预测长度为24时，在Abilene和GÉANT两套实验中，本文方法的平均误差均低于作为比较对象的DLinear、LightTS和固定等权模型。相对全局可学习权重与恒定输入路由两类常权重对照，本文方法在Abilene上的逐种子平均MSE改进均约1.80%；GÉANT上的对应改进分别为4.31%和4.97%，但两项95%置信区间均跨越零。按真实值分组的预测校准仍显示，各模型低估较高流量取值；本文方法的高值端平均偏差相对较小。该平均结果的适用范围是分组统计，不能据此断言本文方法在每个测试点都更准确。逐种子权重分析与波动分组分析共同表明，路由器能否稳定匹配窗口尺度需求仍缺乏充分证据。对输入相关融合收益的稳定性，还需在更多数据及不同预测设置下继续检验。</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pageBreakBefore/>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keepLines/>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ind w:left="420" w:hanging="420"/>
      </w:pPr>
      <w:r w:rsidRPr="00B14FA3">
        <w:rPr>
          <w:sz w:val="18"/>
        </w:rPr>
        <w:t>[2] QIN L, GU H, WEI W,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ind w:left="420" w:hanging="420"/>
      </w:pPr>
      <w:r>
        <w:rPr>
          <w:sz w:val="18"/>
        </w:rPr>
        <w:t>[3]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keepLines/>
        <w:ind w:left="420" w:hanging="420"/>
      </w:pPr>
      <w:r>
        <w:rPr>
          <w:sz w:val="18"/>
        </w:rPr>
        <w:t>[4]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3FA328DF" w14:textId="77777777" w:rsidR="00B14FA3" w:rsidRPr="00B14FA3" w:rsidRDefault="00B14FA3" w:rsidP="00B14FA3">
      <w:pPr>
        <w:keepLines/>
        <w:ind w:left="420" w:hanging="420"/>
      </w:pPr>
      <w:r w:rsidRPr="00B14FA3">
        <w:rPr>
          <w:sz w:val="18"/>
        </w:rPr>
        <w:t>[5]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ind w:left="420" w:hanging="420"/>
      </w:pPr>
      <w:r w:rsidRPr="00B14FA3">
        <w:rPr>
          <w:sz w:val="18"/>
        </w:rPr>
        <w:t>[6]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keepLines/>
        <w:ind w:left="420" w:hanging="420"/>
      </w:pPr>
      <w:r>
        <w:rPr>
          <w:sz w:val="18"/>
        </w:rPr>
        <w:t>[7] WANG S, WU H, SHI X, et al. TimeMixer: decomposable multiscale mixing for time series forecasting[C]//International Conference on Learning Representations. 2024.</w:t>
      </w:r>
    </w:p>
    <w:p w14:paraId="32B65309" w14:textId="77777777" w:rsidR="00B14FA3" w:rsidRPr="00B14FA3" w:rsidRDefault="00B14FA3" w:rsidP="00B14FA3">
      <w:pPr>
        <w:keepLines/>
        <w:ind w:left="420" w:hanging="420"/>
      </w:pPr>
      <w:r>
        <w:rPr>
          <w:sz w:val="18"/>
        </w:rPr>
        <w:t>[8]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keepLines/>
        <w:ind w:left="420" w:hanging="420"/>
      </w:pPr>
      <w:r>
        <w:rPr>
          <w:sz w:val="18"/>
        </w:rPr>
        <w:t>[9]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keepLines/>
        <w:ind w:left="420" w:hanging="420"/>
      </w:pPr>
      <w:r>
        <w:rPr>
          <w:sz w:val="18"/>
        </w:rPr>
        <w:t>[10]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ind w:left="420" w:hanging="420"/>
      </w:pPr>
      <w:r>
        <w:rPr>
          <w:sz w:val="18"/>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