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Short-term fluctuations and slower trends coexist in backbone origin-destination traffic. Input-window statistics determine the Softmax weights used to combine DLinear experts at scales 1, 2, and 4. For input length 96 and forecast length 24, results from three common random seeds give MSE reductions of 4.07% on Abilene and 4.54% on GÉANT relative to DLinear. The corresponding reductions relative to LightTS are 29.80% and 46.89%. An eight-seed ablation adds two fixed-weight controls: learned global weights and a router receiving constant input. Mean seed-wise MSE reductions over the two controls are both about 1.80% on Abilene; on GÉANT, they are 4.31% and 4.97%, respectively. Both paired 95% confidence intervals on GÉANT include zero, and most of its pooled router-weight variance arises between seeds. Reliable window-specific scale selection therefore remains unconfirmed despite the average error reduction.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源—目的节点对（origin-destination，OD）流量描述骨干网络不同节点对之间的通信需求。容量规划、拥塞预警、资源调度和流量工程需要判断未来流量状态，本文因而预测后续OD流量。在云计算、视频业务、数据中心互联及智能网络应用持续增加的背景下，业务在网络内部的迁移和聚集更频繁。这使后续流量的时间变化更加复杂，也增加了预测难度。周期变化、局部波动与突发变化常叠加在同一OD流量序列中，不同变量又有各自的数值范围。这类OD数据包含的复杂短时变化，难以仅用较平稳单变量序列的趋势描述完整覆盖。模型在预测较长时间趋势时，仍需响应短时状态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Lohrasbinasab等[1]系统梳理了网络流量预测方法，指出机器学习和深度学习等数据驱动方法在复杂流量预测中的应用不断增加，反映了传统统计模型之外的研究扩展。网络规模扩大也使OD变量之间的关联更难由单一序列的时间分析覆盖。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上述研究涉及的时间依赖、变量关联与周期结构，构成了流量预测的不同观察角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时间分辨率决定同一流量序列中哪些特征更易观察：较多局部细节在原始分辨率下保留，短时起伏也更清晰；时间聚合平滑部分局部扰动后，较慢的变化趋势更突出。在Zhou等[5]的多尺度网络流量预测研究中，深度回声状态网络从不同时间分辨率的序列中提取信息，以利用各分辨率之间的互补性。利用多尺度信息还涉及模型结构开销。DLinear[6]通过时间序列分解和线性映射完成预测，TimeMixer[7]以多尺度混合机制处理不同分辨率序列。LightTS[8]则采用采样导向的MLP结构，实现快速多变量时间序列预测。本文将多时间尺度信息与模型规模共同作为预测结构的设计约束。</w:t>
      </w:r>
    </w:p>
    <w:p w14:paraId="65582279" w14:textId="77777777" w:rsidR="00B14FA3" w:rsidRPr="00B14FA3" w:rsidRDefault="00B14FA3" w:rsidP="00B14FA3">
      <w:pPr>
        <w:rPr>
          <w:color w:val="000000"/>
        </w:rPr>
      </w:pPr>
      <w:r>
        <w:rPr>
          <w:color w:val="000000"/>
          <w:szCs w:val="21"/>
        </w:rPr>
        <w:t>常见流程先给定时间尺度，再分别计算结果并按既定方式融合。各输入窗口中的短时波动和平缓趋势占比不同，尺度1、2和4的预测作用也可能随窗口状态变化。仅采用单一尺度会缺少其他时间分辨率的信息。构造多尺度序列后，固定融合比例仍不使用窗口状态差异；本文则根据当前输入窗口计算融合权重，将状态信息用于各尺度结果的组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针对输入窗口之间的状态差异，本文采用样本级自适应多尺度结构。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的区别在于历史信息的平滑程度。原始尺度较完整地保留局部变化，较粗尺度则通过时间聚合减弱短时扰动，突出较慢的趋势。3个尺度各自预测，保留独立结果后，由路由网络确定每个样本的融合比例。结构较简洁的DLinear用于全部专家，控制模型规模，并为多尺度输入和样本级融合提供相同的比较主干。</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，t表示时间索引，C表示有效OD变量数。沿时间轴对连续序列生成滑动窗口，作为监督学习样本；第n个样本由历史窗口</w:t>
      </w:r>
      <m:oMath>
        <m:sSub>
          <m:e>
            <m:r>
              <m:rPr>
                <m:sty m:val="b"/>
              </m:rPr>
              <m:t>X</m:t>
            </m:r>
          </m:e>
          <m:sub>
            <m:r>
              <m:t>n</m:t>
            </m:r>
          </m:sub>
        </m:sSub>
      </m:oMath>
      <w:r>
        <w:t>及预测目标</w:t>
      </w:r>
      <m:oMath>
        <m:sSub>
          <m:e>
            <m:r>
              <m:rPr>
                <m:sty m:val="b"/>
              </m:rPr>
              <m:t>Y</m:t>
            </m:r>
          </m:e>
          <m:sub>
            <m:r>
              <m:t>n</m:t>
            </m:r>
          </m:sub>
        </m:sSub>
      </m:oMath>
      <w:r>
        <w:t>组成：</w:t>
      </w:r>
      <m:oMath>
        <m:sSub>
          <m:e>
            <m:r>
              <m:rPr>
                <m:sty m:val="b"/>
              </m:rPr>
              <m:t>X</m:t>
            </m:r>
          </m:e>
          <m:sub>
            <m:r>
              <m:t>n</m:t>
            </m:r>
          </m:sub>
        </m:sSub>
      </m:oMath>
      <w:r>
        <w:t>覆盖连续L个时间点，</w:t>
      </w:r>
      <m:oMath>
        <m:sSub>
          <m:e>
            <m:r>
              <m:rPr>
                <m:sty m:val="b"/>
              </m:rPr>
              <m:t>Y</m:t>
            </m:r>
          </m:e>
          <m:sub>
            <m:r>
              <m:t>n</m:t>
            </m:r>
          </m:sub>
        </m:sSub>
      </m:oMath>
      <w: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本文取L=96步作为历史输入、H=24步作为未来预测，C为各数据集保留的有效OD维度数。需要学习的预测映射记为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r>
        <w:t>预处理保留历史窗口原有的时间分辨率，各尺度共用这一窗口。不同尺度序列在此后构造，分别向各专家提供细粒度变化和较平滑的趋势。</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设尺度集合S={1,2,4}。尺度s规定时间维聚合的窗口大小与步长，两者取值相同。采用非重叠平均池化，任一尺度s的序列构造为：</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keepLines/>
        <w:spacing w:line="360" w:lineRule="auto"/>
      </w:pPr>
      <w:r w:rsidRPr="00B14FA3">
        <w:rPr>
          <w:szCs w:val="21"/>
        </w:rPr>
        <w:t>本文使用尺度集合S={1,2,4}。L=96时，尺度1保留原始96步输入。相邻2个时间点的均值构成尺度2的聚合点，序列长度为48步；尺度4以每4个时间点的均值构成聚合点，序列长度为24步。尺度1不压缩时间轴，保留较完整的短时起伏；尺度2适度平滑局部变化。尺度4对短时间内的高频变化进一步平滑，较慢的趋势因而更突出。多分辨率输入由无需训练参数的平均池化构造，尺度变换也不另设可训练模块，因而这部分输入构造不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96步历史窗口在尺度1、2和4下均可得到整数长度序列，专家数量由这一尺度设置确定。更多尺度会带来更粗、有效时间长度更短的序列，还需为相应预测增加专家分支。固定尺度组合{1,2,4}是在细粒度信息、趋势信息和模型规模之间作出的取舍。本文未穷举搜索尺度组合，其最优性未经检验。采用非重叠池化时，原始时间点在同一尺度内只参与一次聚合，各尺度的时间聚合含义因此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为减少主干结构对融合方式比较的干扰，各尺度专家统一采用DLinear。预测误差可能同时受到这两方面影响，因此需要控制主干差异。单尺度预测、固定等权、全局可学习固定权重、恒定输入路由和样本级路由共五种设置，均需在这一主干下比较。过于复杂的尺度专家会使主干结构与融合机制对误差变化的影响交织。DLinear的基本预测能力和清晰参数关系使其适合承担统一尺度专家。共用这一专家结构，便于分别考察预测主干与尺度融合的影响。</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keepLines/>
        <w:spacing w:line="360" w:lineRule="auto"/>
      </w:pPr>
      <w: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对式（11）的3个尺度分数作Softmax归一化，得到3个总和为1的非负权重；各专家在最终预测中的相对贡献由这些权重表示：</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widowControl/>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keepNext/>
        <w:keepLines/>
        <w:spacing w:line="360" w:lineRule="auto"/>
      </w:pPr>
      <w:r w:rsidRPr="00B14FA3">
        <w:rPr>
          <w:szCs w:val="21"/>
        </w:rPr>
        <w:t>本文以均方误差训练模型。损失在训练样本、未来H个预测时刻以及全部C个OD变量上计算，覆盖不同预测步与不同OD维度的偏差。各项偏差在同一目标中汇总，用于模型参数更新。对应训练目标为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训练采用Adam优化器更新参数，并根据验证集MSE选择最终使用的模型。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模型计算依次经过三个环节：平均池化把同一历史窗口转换为3个时间分辨率，DLinear专家分别给出候选预测，路由网络再根据原始窗口的4个统计量确定融合权重。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数据取自CESNET TS-Zoo[9]，包括按1 h聚合的Abilene[10]与GÉANT[11]骨干网流量矩阵。Abilene共有4656个时间点，保留144维有效OD流量；GÉANT共有2849个时间点，去除恒定通道后保留524维有效OD流量。两套数据的序列长度和变量规模不同，分别运行相同预测流程，以观察这些数据条件下的表现。沿原序列的时间顺序划分训练集、验证集和测试集，比例为6∶2∶2。输入长度统一设为L=96，预测长度统一设为H=24。预处理按第1.1节执行，数据规模及窗口数量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widowControl/>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均方误差（MSE）、平均绝对误差（MAE）及均方根误差（RMSE）用于评价预测性能。其中MSE采用式（14），MAE和RMSE的定义如下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误差在标准化空间计算，各指标越小，预测误差越低。正文以MSE和MAE为主要指标：前者对较大误差更敏感，后者反映平均绝对偏差。RMSE为MSE的平方根，用于补充误差幅值。随机种子42～44的结果在表2中以均值±标准差列出；随机种子42～49的结果在表3中采用同一统计形式。均值描述平均水平，标准差描述种子间波动。相对改进率按共同随机种子逐一配对计算，再将所得改进率取平均；该百分比使用逐种子结果，而非表内四舍五入后的均值。</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GÉANT的OD变量数较多，本文方法相对LightTS的MSE降幅也高于Abilene。不过，两者同时出现不能确立变量规模与误差降幅之间的因果关系。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以DLinear和固定等权多尺度模型为对照，列出随机种子42～49的MSE、MAE及RMSE相对改进率。两种方法误差相等的位置由0%虚线标出，据此判断改进方向。各随机种子的结果用散点表示，8次结果的分布由半小提琴汇总。黑色菱形和横向误差线分别表示8次改进率均值及其95%置信区间。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虽均为正值，GÉANT的种子间波动仍较明显，平均收益的稳定性需结合图中置信区间判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widowControl/>
      </w:pPr>
      <w:r>
        <w:t>等权融合采用固定等权模型检验。全局可学习权重与恒定输入路由作为两类常权重对照，用于考察融合方式改变后的误差。表3中本文方法相对两者的平均MSE均较低，但GÉANT的配对区间均跨越零；其中种子43相对恒定输入路由退步12.78%。这些结果比较的是完整方法与两类常权重方案。各模型独立训练，恒定输入路由的首层输入权重又不起作用，因此误差差异不能唯一归因于逐窗口权重变化。图4进一步汇总全测试点的整体偏差，并用按真实值波动选取的预测轨迹考察局部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覆盖24个预测步和全部有效OD通道。真实值按分位点分为最多40个区间，四种模型分别在区间内汇总8种子的预测值并取平均，由这些分组平均值构成曲线。灰色虚线给出理想预测位置，浅色带给出种子间±1个标准差。高真实值区间中，四种模型的分组预测值均偏低，本文方法的平均偏差相对较小。这里比较的是区间平均值，不能代替各测试点的误差判断。图4(c～f)固定随机种子42，先依据真实序列选取标准差接近第75百分位的OD通道，再选波动程度接近中位数和第90百分位的窗口。通道及窗口的选择均不依据模型误差，只使用真实序列。本文方法在四例中的三例取得较低的24步均方误差，均低于DLinear、固定等权和恒定输入路由模型；Abilene典型波动窗口是例外，本文方法在该例中较差。这些轨迹用于解释所选窗口内的局部预测行为，总体精度仍按表3的配对统计判断。测试窗口相互重叠，故统计时不把重叠窗口作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随机种子42～49的三个尺度权重见图5，小提琴分布包含全部测试窗口与种子。蓝、绿、橙色分别表示尺度1、2和4。彩色散点显示同一种子在全部测试窗口上的平均权重。对8个种子的这些均值再计算均值±1个标准差，以黑色菱形和误差线表示；固定等权1/3与汇总分布中位数分别用水平虚线及短横线标示。小提琴宽度同时受种子间差异与窗口间差异影响。因此，仅凭这一混合分布的宽度，无法判断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展示的汇总分布，把种子间差异与同一种子内部的窗口差异放在一起。若仅依据这一分布判断路由机制，仍缺少路由器能否有效识别各窗口尺度需求的证据。</w:t>
      </w:r>
    </w:p>
    <w:p w14:paraId="2B7D35DC" w14:textId="77777777" w:rsidR="00B14FA3" w:rsidRPr="00B14FA3" w:rsidRDefault="00B14FA3" w:rsidP="00B14FA3">
      <w:r>
        <w:rPr>
          <w:color w:val="000000"/>
          <w:szCs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依据这些分组结果，当前还不能支持“波动越强，路由收益越大”的机制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使用预测长度为24的8个随机种子检查点单独测量前向计算开销。计时运行于NVIDIA GTX 1060，预先加载测试张量，并将批量大小设为16。本文方法在Abilene和GÉANT上的平均每批前向耗时分别为2.65 ms和2.61 ms，固定等权模型分别为2.38 ms和2.10 ms，单尺度DLinear分别为0.77 ms和0.70 ms。前向计时不包含数据读取和传输，端到端部署时延仍需计入这两部分。本文方法的参数量较小，但三个尺度专家及路由器带来的额外计算仍增加推理开销。</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构建了处理骨干网络OD流量短时波动与较慢趋势的多尺度预测结构。尺度1、2和4的DLinear专家独立预测，轻量路由网络根据输入计算融合权重，将各专家结果组合为最终输出。预测长度为24时，在Abilene和GÉANT两套实验中，本文方法的平均误差均低于作为比较对象的DLinear、LightTS和固定等权模型。相对全局可学习权重与恒定输入路由两类常权重对照，本文方法在Abilene上的逐种子平均MSE改进均约1.80%；GÉANT上的对应改进分别为4.31%和4.97%，但两项95%置信区间均跨越零。按真实值分组的校准结果表明，各模型在高流量端仍有低估，本文方法的平均偏差相对较小。由于该比较以分组平均值为依据，不能推断每个测试点的预测都更准确。路由器是否稳定匹配窗口尺度需求，在逐种子权重分析和波动分组分析中仍缺乏充分证据。输入相关融合收益的稳定性，仍需在更多数据与不同预测设置下检验。</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