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兼有短时起伏和较慢趋势，单一时间分辨率难以同时表征两者。本文采用尺度1、2和4的DLinear专家，由轻量路由网络根据输入窗口统计量生成Softmax融合权重。在输入长度96、预测长度24的Abilene和GÉANT实验中，3个共同随机种子下本文方法相对DLinear的MSE分别降低4.07%和4.54%，相对LightTS分别降低29.80%和46.89%。8个随机种子的核心消融加入全局可学习权重和恒定输入路由两类固定权重对照；本文方法相对两者在Abilene上的逐种子平均MSE改进率均约为1.80%，在GÉANT上分别为4.31%和4.97%。GÉANT的两项配对95%置信区间均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Short-term fluctuations and slower trends coexist in backbone origin-destination traffic. Input-window statistics determine the Softmax weights used to combine DLinear experts at scales 1, 2, and 4. For input length 96 and forecast length 24, results from three common random seeds give MSE reductions of 4.07% on Abilene and 4.54% on GÉANT relative to DLinear. The corresponding reductions relative to LightTS are 29.80% and 46.89%. An eight-seed ablation adds two fixed-weight controls: learned global weights and a router receiving constant input. Mean seed-wise MSE reductions over the two controls are both about 1.80% on Abilene; on GÉANT, they are 4.31% and 4.97%, respectively. Both paired 95% confidence intervals on GÉANT include zero, and most of its pooled router-weight variance arises between seeds. Reliable window-specific scale selection therefore remains unconfirmed despite the average error reduction.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源—目的节点对（origin-destination，OD）流量描述骨干网络不同节点对之间的通信需求。容量规划、拥塞预警、资源调度和流量工程需要判断未来流量状态，本文因而预测后续OD流量。面向小时级骨干网需求分析，预测结果可作为运维和容量规划的输入，本文不直接生成资源分配动作。在云计算、视频业务、数据中心互联及智能网络应用持续增加的背景下，业务在网络内部的迁移和聚集更频繁。这使后续流量的时间变化更加复杂，也增加了预测难度。周期变化、局部波动与突发变化常叠加在同一OD流量序列中，不同变量又有各自的数值范围。这类OD数据包含的复杂短时变化，难以仅用较平稳单变量序列的趋势描述完整覆盖。模型在预测较长时间趋势时，仍需响应短时状态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Lohrasbinasab等[1]系统梳理了网络流量预测方法，指出机器学习和深度学习等数据驱动方法在复杂流量预测中的应用不断增加，反映了传统统计模型之外的研究扩展。网络规模扩大也使OD变量之间的关联更难由单一序列的时间分析覆盖。Qin等[2]把图神经网络引入通信网络流量预测，在同一模型中处理空间关联和时间依赖；韦烜等[3]针对大型IP网络流量矩阵开展分析与预测，讨论了不同OD变量之间的关联及其时间变化。唐文杰等[4]则在CycleLLH模型中引入周期性信息。上述研究涉及的时间依赖、变量关联与周期结构，构成了流量预测的不同观察角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时间分辨率决定同一流量序列中哪些特征更易观察：较多局部细节在原始分辨率下保留，短时起伏也更清晰；时间聚合平滑部分局部扰动后，较慢的变化趋势更突出。在Zhou等[5]的多尺度网络流量预测研究中，深度回声状态网络从不同时间分辨率的序列中提取信息，以利用各分辨率之间的互补性。利用多尺度信息还涉及模型结构开销。DLinear[6]通过时间序列分解和线性映射完成预测，TimeMixer[7]以多尺度混合机制处理不同分辨率序列。LightTS[8]则采用采样导向的MLP结构，实现快速多变量时间序列预测。本文将多时间尺度信息与模型规模共同作为预测结构的设计约束。</w:t>
      </w:r>
    </w:p>
    <w:p w14:paraId="65582279" w14:textId="77777777" w:rsidR="00B14FA3" w:rsidRPr="00B14FA3" w:rsidRDefault="00B14FA3" w:rsidP="00B14FA3">
      <w:pPr>
        <w:rPr>
          <w:color w:val="000000"/>
        </w:rPr>
      </w:pPr>
      <w:r>
        <w:rPr>
          <w:color w:val="000000"/>
          <w:szCs w:val="21"/>
        </w:rPr>
        <w:t>常见流程先给定时间尺度，再分别计算结果并按既定方式融合。各输入窗口中的短时波动和平缓趋势占比不同，尺度1、2和4的预测作用也可能随窗口状态变化。仅采用单一尺度会缺少其他时间分辨率的信息。构造多尺度序列后，固定融合比例仍不使用窗口状态差异；本文则根据当前输入窗口计算融合权重，将状态信息用于各尺度结果的组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针对输入窗口之间的状态差异，本文采用样本级自适应多尺度结构。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比较DLinear、LightTS、固定等权、全局可学习固定权重与恒定输入路由模型，并通过多个随机种子重复实验和路由权重分析检验预测误差、核心结构消融与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模型包含多尺度预测和尺度选择两个模块：尺度1、2和4的输入分别交给独立DLinear专家，路由网络根据当前窗口的统计特征估计3个尺度的融合权重。原始OD流量经对数变换和标准化后形成3个时间分辨率的输入序列；3个专家分别预测，再按样本级权重融合。固定等权、全局可学习权重与恒定输入路由对照采用相同的尺度与专家结构，并分别训练，用以比较等权、全局非等权与输入相关融合。</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三个时间尺度的区别在于历史信息的平滑程度。原始尺度较完整地保留局部变化，较粗尺度则通过时间聚合减弱短时扰动，突出较慢的趋势。3个尺度各自预测，保留独立结果后，由路由网络确定每个样本的融合比例。结构较简洁的DLinear用于全部专家，控制模型规模，并为多尺度输入和样本级融合提供相同的比较主干。</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1.1 预测任务与数据预处理</w:t>
      </w:r>
      <w:r w:rsidRPr="00B14FA3">
        <w:rPr>
          <w:rFonts w:eastAsia="黑体"/>
          <w:b/>
          <w:bCs/>
          <w:szCs w:val="21"/>
        </w:rPr>
      </w:r>
    </w:p>
    <w:p w14:paraId="68385A57" w14:textId="77777777" w:rsidR="00B14FA3" w:rsidRPr="00B14FA3" w:rsidRDefault="00B14FA3" w:rsidP="00B14FA3">
      <w:pPr>
        <w:spacing w:line="360" w:lineRule="auto"/>
      </w:pPr>
      <w:r>
        <w:t xml:space="preserve">记预处理后的多变量流量序列为 </w:t>
      </w:r>
      <m:oMath>
        <m:sSub>
          <m:e>
            <m:r>
              <m:rPr>
                <m:sty m:val="b"/>
              </m:rPr>
              <m:t>x</m:t>
            </m:r>
          </m:e>
          <m:sub>
            <m:r>
              <m:t>t</m:t>
            </m:r>
          </m:sub>
        </m:sSub>
        <m:r>
          <m:rPr>
            <m:sty m:val="p"/>
          </m:rPr>
          <m:t>∈</m:t>
        </m:r>
        <m:sSup>
          <m:e>
            <m:r>
              <m:rPr>
                <m:scr m:val="double-struck"/>
                <m:sty m:val="p"/>
              </m:rPr>
              <m:t>R</m:t>
            </m:r>
          </m:e>
          <m:sup>
            <m:r>
              <m:t>C</m:t>
            </m:r>
          </m:sup>
        </m:sSup>
      </m:oMath>
      <w:r>
        <w:t>，t表示时间索引，C表示有效OD变量数。沿时间轴对连续序列生成滑动窗口，作为监督学习样本；第n个样本由历史窗口</w:t>
      </w:r>
      <m:oMath>
        <m:sSub>
          <m:e>
            <m:r>
              <m:rPr>
                <m:sty m:val="b"/>
              </m:rPr>
              <m:t>X</m:t>
            </m:r>
          </m:e>
          <m:sub>
            <m:r>
              <m:t>n</m:t>
            </m:r>
          </m:sub>
        </m:sSub>
      </m:oMath>
      <w:r>
        <w:t>及预测目标</w:t>
      </w:r>
      <m:oMath>
        <m:sSub>
          <m:e>
            <m:r>
              <m:rPr>
                <m:sty m:val="b"/>
              </m:rPr>
              <m:t>Y</m:t>
            </m:r>
          </m:e>
          <m:sub>
            <m:r>
              <m:t>n</m:t>
            </m:r>
          </m:sub>
        </m:sSub>
      </m:oMath>
      <w:r>
        <w:t>组成：</w:t>
      </w:r>
      <m:oMath>
        <m:sSub>
          <m:e>
            <m:r>
              <m:rPr>
                <m:sty m:val="b"/>
              </m:rPr>
              <m:t>X</m:t>
            </m:r>
          </m:e>
          <m:sub>
            <m:r>
              <m:t>n</m:t>
            </m:r>
          </m:sub>
        </m:sSub>
      </m:oMath>
      <w:r>
        <w:t>覆盖连续L个时间点，</w:t>
      </w:r>
      <m:oMath>
        <m:sSub>
          <m:e>
            <m:r>
              <m:rPr>
                <m:sty m:val="b"/>
              </m:rPr>
              <m:t>Y</m:t>
            </m:r>
          </m:e>
          <m:sub>
            <m:r>
              <m:t>n</m:t>
            </m:r>
          </m:sub>
        </m:sSub>
      </m:oMath>
      <w: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e>
            <m:r>
              <m:rPr>
                <m:sty m:val="b"/>
              </m:rPr>
              <m:t>X</m:t>
            </m:r>
          </m:e>
          <m:sub>
            <m:r>
              <m:t>n</m:t>
            </m:r>
          </m:sub>
        </m:sSub>
        <m:r>
          <m:rPr>
            <m:sty m:val="p"/>
          </m:rPr>
          <m:t>=</m:t>
        </m:r>
        <m:r>
          <m:rPr>
            <m:sty m:val="p"/>
          </m:rPr>
          <m:t>[</m:t>
        </m:r>
        <m:sSub>
          <m:e>
            <m:r>
              <m:rPr>
                <m:sty m:val="b"/>
              </m:rPr>
              <m:t>x</m:t>
            </m:r>
          </m:e>
          <m:sub>
            <m:r>
              <m:t>n</m:t>
            </m:r>
          </m:sub>
        </m:sSub>
        <m:r>
          <m:rPr>
            <m:sty m:val="p"/>
          </m:rPr>
          <m:t>,</m:t>
        </m:r>
        <m:r>
          <m:rPr>
            <m:sty m:val="p"/>
          </m:rPr>
          <m:t>…</m:t>
        </m:r>
        <m:r>
          <m:rPr>
            <m:sty m:val="p"/>
          </m:rPr>
          <m:t>,</m:t>
        </m:r>
        <m:sSub>
          <m:e>
            <m:r>
              <m:rPr>
                <m:sty m:val="b"/>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Y</m:t>
            </m:r>
          </m:e>
          <m:sub>
            <m:r>
              <m:t>n</m:t>
            </m:r>
          </m:sub>
        </m:sSub>
        <m:r>
          <m:rPr>
            <m:sty m:val="p"/>
          </m:rPr>
          <m:t>=</m:t>
        </m:r>
        <m:r>
          <m:rPr>
            <m:sty m:val="p"/>
          </m:rPr>
          <m:t>[</m:t>
        </m:r>
        <m:sSub>
          <m:e>
            <m:r>
              <m:rPr>
                <m:sty m:val="b"/>
              </m:rPr>
              <m:t>x</m:t>
            </m:r>
          </m:e>
          <m:sub>
            <m:r>
              <m:t>n</m:t>
            </m:r>
            <m:r>
              <m:rPr>
                <m:sty m:val="p"/>
              </m:rPr>
              <m:t>+</m:t>
            </m:r>
            <m:r>
              <m:t>L</m:t>
            </m:r>
          </m:sub>
        </m:sSub>
        <m:r>
          <m:rPr>
            <m:sty m:val="p"/>
          </m:rPr>
          <m:t>,</m:t>
        </m:r>
        <m:r>
          <m:rPr>
            <m:sty m:val="p"/>
          </m:rPr>
          <m:t>…</m:t>
        </m:r>
        <m:r>
          <m:rPr>
            <m:sty m:val="p"/>
          </m:rPr>
          <m:t>,</m:t>
        </m:r>
        <m:sSub>
          <m:e>
            <m:r>
              <m:rPr>
                <m:sty m:val="b"/>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t>本文取L=96步作为历史输入、H=24步作为未来预测，C为各数据集保留的有效OD维度数。需要学习的预测映射记为</w:t>
      </w:r>
      <m:oMath>
        <m:sSub>
          <m:e>
            <m:acc>
              <m:accPr>
                <m:chr m:val="̂"/>
              </m:accPr>
              <m:e>
                <m:r>
                  <m:rPr>
                    <m:sty m:val="b"/>
                  </m:rPr>
                  <m:t>Y</m:t>
                </m:r>
              </m:e>
            </m:acc>
          </m:e>
          <m:sub>
            <m:r>
              <m:t>n</m:t>
            </m:r>
          </m:sub>
        </m:sSub>
        <m:r>
          <m:rPr>
            <m:sty m:val="p"/>
          </m:rPr>
          <m:t>=</m:t>
        </m:r>
        <m:sSub>
          <m:e>
            <m:r>
              <m:t>f</m:t>
            </m:r>
          </m:e>
          <m:sub>
            <m:r>
              <m:t>θ</m:t>
            </m:r>
          </m:sub>
        </m:sSub>
        <m:r>
          <m:rPr>
            <m:sty m:val="p"/>
          </m:rPr>
          <m:t>(</m:t>
        </m:r>
        <m:sSub>
          <m:e>
            <m:r>
              <m:rPr>
                <m:sty m:val="b"/>
              </m:rPr>
              <m:t>X</m:t>
            </m:r>
          </m:e>
          <m:sub>
            <m:r>
              <m:t>n</m:t>
            </m:r>
          </m:sub>
        </m:sSub>
        <m:r>
          <m:rPr>
            <m:sty m:val="p"/>
          </m:rPr>
          <m:t>)</m:t>
        </m:r>
      </m:oMath>
      <w: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t>作对数变换</w:t>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t>其中</w:t>
      </w:r>
      <m:oMath>
        <m:sSubSup>
          <m:e>
            <m:r>
              <m:t>μ</m:t>
            </m:r>
          </m:e>
          <m:sub>
            <m:r>
              <m:t>c</m:t>
            </m:r>
          </m:sub>
          <m:sup>
            <m:r>
              <m:rPr>
                <m:sty m:val="p"/>
              </m:rPr>
              <m:t>t</m:t>
            </m:r>
            <m:r>
              <m:rPr>
                <m:sty m:val="p"/>
              </m:rPr>
              <m:t>r</m:t>
            </m:r>
          </m:sup>
        </m:sSubSup>
      </m:oMath>
      <w:r>
        <w:t>和</w:t>
      </w:r>
      <m:oMath>
        <m:sSubSup>
          <m:e>
            <m:r>
              <m:t>σ</m:t>
            </m:r>
          </m:e>
          <m:sub>
            <m:r>
              <m:t>c</m:t>
            </m:r>
          </m:sub>
          <m:sup>
            <m:r>
              <m:rPr>
                <m:sty m:val="p"/>
              </m:rPr>
              <m:t>t</m:t>
            </m:r>
            <m:r>
              <m:rPr>
                <m:sty m:val="p"/>
              </m:rPr>
              <m:t>r</m:t>
            </m:r>
          </m:sup>
        </m:sSubSup>
      </m:oMath>
      <w: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r>
        <w:t>预处理保留历史窗口原有的时间分辨率，各尺度共用这一窗口。不同尺度序列在此后构造，分别向各专家提供细粒度变化和较平滑的趋势。</w:t>
      </w:r>
    </w:p>
    <w:p>
      <w:pPr/>
      <w:r>
        <w:t>在第2.1节所用的1 h聚合数据上，96步历史输入对应过去96 h，24步预测对应未来24 h。该设置适用于小时级需求变化分析；若采用逐小时滚动调用，每次仍预测未来24 h，预测跨度与更新周期应分别理解。</w:t>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082369"/>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082369"/>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1.2 多尺度构造与DLinear专家</w:t>
      </w:r>
      <w:r w:rsidRPr="00B14FA3">
        <w:rPr>
          <w:rFonts w:eastAsia="黑体"/>
          <w:b/>
          <w:bCs/>
          <w:szCs w:val="21"/>
        </w:rPr>
      </w:r>
    </w:p>
    <w:p w14:paraId="70A22C31" w14:textId="77777777" w:rsidR="00B14FA3" w:rsidRPr="00B14FA3" w:rsidRDefault="00B14FA3" w:rsidP="00B14FA3">
      <w:pPr>
        <w:keepNext/>
        <w:keepLines/>
        <w:spacing w:line="360" w:lineRule="auto"/>
      </w:pPr>
      <w:r w:rsidRPr="00B14FA3">
        <w:rPr>
          <w:szCs w:val="21"/>
        </w:rPr>
        <w:t>设尺度集合S={1,2,4}。尺度s规定时间维聚合的窗口大小与步长，两者取值相同。采用非重叠平均池化，任一尺度s的序列构造为：</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keepLines/>
        <w:spacing w:line="360" w:lineRule="auto"/>
      </w:pPr>
      <w:r w:rsidRPr="00B14FA3">
        <w:rPr>
          <w:szCs w:val="21"/>
        </w:rPr>
        <w:t>本文使用尺度集合S={1,2,4}。L=96时，尺度1保留原始96步输入。相邻2个时间点的均值构成尺度2的聚合点，序列长度为48步；尺度4以每4个时间点的均值构成聚合点，序列长度为24步。尺度1不压缩时间轴，保留较完整的短时起伏；尺度2适度平滑局部变化。尺度4对短时间内的高频变化进一步平滑，较慢的趋势因而更突出。多分辨率输入由无需训练参数的平均池化构造，尺度变换也不另设可训练模块，因而这部分输入构造不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96步历史窗口在尺度1、2和4下均可得到整数长度序列，专家数量由这一尺度设置确定。更多尺度会带来更粗、有效时间长度更短的序列，还需为相应预测增加专家分支。固定尺度组合{1,2,4}是在细粒度信息、趋势信息和模型规模之间作出的取舍。本文未穷举搜索尺度组合，其最优性未经检验。采用非重叠池化时，原始时间点在同一尺度内只参与一次聚合，各尺度的时间聚合含义因此较为直接。</w:t>
      </w:r>
    </w:p>
    <w:p w14:paraId="0C0C1858" w14:textId="77777777" w:rsidR="00B14FA3" w:rsidRPr="00B14FA3" w:rsidRDefault="00B14FA3" w:rsidP="00B14FA3">
      <w:pPr>
        <w:spacing w:line="360" w:lineRule="auto"/>
      </w:pPr>
      <w: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
                  </m:rPr>
                  <m:t>X</m:t>
                </m:r>
              </m:e>
            </m:acc>
          </m:e>
          <m:sup>
            <m:r>
              <m:rPr>
                <m:sty m:val="p"/>
              </m:rPr>
              <m:t>(</m:t>
            </m:r>
            <m:r>
              <m:t>s</m:t>
            </m:r>
            <m:r>
              <m:rPr>
                <m:sty m:val="p"/>
              </m:rPr>
              <m:t>)</m:t>
            </m:r>
          </m:sup>
        </m:sSup>
      </m:oMath>
      <w:r>
        <w:t>；越界索引取最近端点值，从而保持分解前后的时间长度一致：</w:t>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r>
              <m:rPr>
                <m:sty m:val="b"/>
              </m:rPr>
              <m:t>R</m:t>
            </m:r>
          </m:e>
          <m:sub>
            <m:r>
              <m:t>n</m:t>
            </m:r>
          </m:sub>
          <m:sup>
            <m:r>
              <m:rPr>
                <m:sty m:val="p"/>
              </m:rPr>
              <m:t>(</m:t>
            </m:r>
            <m:r>
              <m:t>s</m:t>
            </m:r>
            <m:r>
              <m:rPr>
                <m:sty m:val="p"/>
              </m:rPr>
              <m:t>)</m:t>
            </m:r>
          </m:sup>
        </m:sSubSup>
        <m:r>
          <m:rPr>
            <m:sty m:val="p"/>
          </m:rPr>
          <m:t>=</m:t>
        </m:r>
        <m:sSubSup>
          <m:e>
            <m:r>
              <m:rPr>
                <m:sty m:val="b"/>
              </m:rPr>
              <m:t>X</m:t>
            </m:r>
          </m:e>
          <m:sub>
            <m:r>
              <m:t>n</m:t>
            </m:r>
          </m:sub>
          <m:sup>
            <m:r>
              <m:rPr>
                <m:sty m:val="p"/>
              </m:rPr>
              <m:t>(</m:t>
            </m:r>
            <m:r>
              <m:t>s</m:t>
            </m:r>
            <m:r>
              <m:rPr>
                <m:sty m:val="p"/>
              </m:rPr>
              <m:t>)</m:t>
            </m:r>
          </m:sup>
        </m:sSubSup>
        <m:r>
          <m:rPr>
            <m:sty m:val="p"/>
          </m:rPr>
          <m:t>−</m:t>
        </m:r>
        <m:sSubSup>
          <m:e>
            <m:r>
              <m:rPr>
                <m:sty m:val="b"/>
              </m:rPr>
              <m:t>T</m:t>
            </m:r>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t>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沿时间维分别通过线性层映射到预测长度H：</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e>
            <m:acc>
              <m:accPr>
                <m:chr m:val="̂"/>
              </m:accPr>
              <m:e>
                <m:r>
                  <m:rPr>
                    <m:sty m:val="b"/>
                  </m:rPr>
                  <m:t>Y</m:t>
                </m:r>
              </m:e>
            </m:acc>
          </m:e>
          <m:sub>
            <m:r>
              <m:t>n</m:t>
            </m:r>
          </m:sub>
          <m:sup>
            <m:r>
              <m:rPr>
                <m:sty m:val="p"/>
              </m:rPr>
              <m:t>(</m:t>
            </m:r>
            <m:r>
              <m:t>s</m:t>
            </m:r>
            <m:r>
              <m:rPr>
                <m:sty m:val="p"/>
              </m:rPr>
              <m:t>)</m:t>
            </m:r>
          </m:sup>
        </m:sSubSup>
        <m:r>
          <m:rPr>
            <m:sty m:val="p"/>
          </m:rPr>
          <m:t>=</m:t>
        </m:r>
        <m:sSubSup>
          <m:e>
            <m:r>
              <m:rPr>
                <m:sty m:val="b"/>
              </m:rPr>
              <m:t>W</m:t>
            </m:r>
          </m:e>
          <m:sub>
            <m:r>
              <m:t>T</m:t>
            </m:r>
          </m:sub>
          <m:sup>
            <m:r>
              <m:rPr>
                <m:sty m:val="p"/>
              </m:rPr>
              <m:t>(</m:t>
            </m:r>
            <m:r>
              <m:t>s</m:t>
            </m:r>
            <m:r>
              <m:rPr>
                <m:sty m:val="p"/>
              </m:rPr>
              <m:t>)</m:t>
            </m:r>
          </m:sup>
        </m:sSubSup>
        <m:sSubSup>
          <m:e>
            <m:r>
              <m:rPr>
                <m:sty m:val="b"/>
              </m:rPr>
              <m:t>T</m:t>
            </m:r>
          </m:e>
          <m:sub>
            <m:r>
              <m:t>n</m:t>
            </m:r>
          </m:sub>
          <m:sup>
            <m:r>
              <m:rPr>
                <m:sty m:val="p"/>
              </m:rPr>
              <m:t>(</m:t>
            </m:r>
            <m:r>
              <m:t>s</m:t>
            </m:r>
            <m:r>
              <m:rPr>
                <m:sty m:val="p"/>
              </m:rPr>
              <m:t>)</m:t>
            </m:r>
          </m:sup>
        </m:sSubSup>
        <m:r>
          <m:rPr>
            <m:sty m:val="p"/>
          </m:rPr>
          <m:t>+</m:t>
        </m:r>
        <m:sSubSup>
          <m:e>
            <m:r>
              <m:rPr>
                <m:sty m:val="b"/>
              </m:rPr>
              <m:t>b</m:t>
            </m:r>
          </m:e>
          <m:sub>
            <m:r>
              <m:t>T</m:t>
            </m:r>
          </m:sub>
          <m:sup>
            <m:r>
              <m:rPr>
                <m:sty m:val="p"/>
              </m:rPr>
              <m:t>(</m:t>
            </m:r>
            <m:r>
              <m:t>s</m:t>
            </m:r>
            <m:r>
              <m:rPr>
                <m:sty m:val="p"/>
              </m:rPr>
              <m:t>)</m:t>
            </m:r>
          </m:sup>
        </m:sSubSup>
        <m:r>
          <m:rPr>
            <m:sty m:val="p"/>
          </m:rPr>
          <m:t>+</m:t>
        </m:r>
        <m:sSubSup>
          <m:e>
            <m:r>
              <m:rPr>
                <m:sty m:val="b"/>
              </m:rPr>
              <m:t>W</m:t>
            </m:r>
          </m:e>
          <m:sub>
            <m:r>
              <m:t>R</m:t>
            </m:r>
          </m:sub>
          <m:sup>
            <m:r>
              <m:rPr>
                <m:sty m:val="p"/>
              </m:rPr>
              <m:t>(</m:t>
            </m:r>
            <m:r>
              <m:t>s</m:t>
            </m:r>
            <m:r>
              <m:rPr>
                <m:sty m:val="p"/>
              </m:rPr>
              <m:t>)</m:t>
            </m:r>
          </m:sup>
        </m:sSubSup>
        <m:sSubSup>
          <m:e>
            <m:r>
              <m:rPr>
                <m:sty m:val="b"/>
              </m:rPr>
              <m:t>R</m:t>
            </m:r>
          </m:e>
          <m:sub>
            <m:r>
              <m:t>n</m:t>
            </m:r>
          </m:sub>
          <m:sup>
            <m:r>
              <m:rPr>
                <m:sty m:val="p"/>
              </m:rPr>
              <m:t>(</m:t>
            </m:r>
            <m:r>
              <m:t>s</m:t>
            </m:r>
            <m:r>
              <m:rPr>
                <m:sty m:val="p"/>
              </m:rPr>
              <m:t>)</m:t>
            </m:r>
          </m:sup>
        </m:sSubSup>
        <m:r>
          <m:rPr>
            <m:sty m:val="p"/>
          </m:rPr>
          <m:t>+</m:t>
        </m:r>
        <m:sSubSup>
          <m:e>
            <m:r>
              <m:rPr>
                <m:sty m:val="b"/>
              </m:rPr>
              <m:t>b</m:t>
            </m:r>
          </m:e>
          <m:sub>
            <m:r>
              <m:t>R</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t>由式（6）和式（7）可得到尺度s上的趋势项</w:t>
      </w:r>
      <m:oMath>
        <m:sSup>
          <m:e>
            <m:r>
              <m:rPr>
                <m:sty m:val="b"/>
              </m:rPr>
              <m:t>T</m:t>
            </m:r>
          </m:e>
          <m:sup>
            <m:r>
              <m:rPr>
                <m:sty m:val="p"/>
              </m:rPr>
              <m:t>(</m:t>
            </m:r>
            <m:r>
              <m:t>s</m:t>
            </m:r>
            <m:r>
              <m:rPr>
                <m:sty m:val="p"/>
              </m:rPr>
              <m:t>)</m:t>
            </m:r>
          </m:sup>
        </m:sSup>
      </m:oMath>
      <w:r>
        <w:t>和余项</w:t>
      </w:r>
      <m:oMath>
        <m:sSup>
          <m:e>
            <m:r>
              <m:rPr>
                <m:sty m:val="b"/>
              </m:rPr>
              <m:t>R</m:t>
            </m:r>
          </m:e>
          <m:sup>
            <m:r>
              <m:rPr>
                <m:sty m:val="p"/>
              </m:rPr>
              <m:t>(</m:t>
            </m:r>
            <m:r>
              <m:t>s</m:t>
            </m:r>
            <m:r>
              <m:rPr>
                <m:sty m:val="p"/>
              </m:rPr>
              <m:t>)</m:t>
            </m:r>
          </m:sup>
        </m:sSup>
      </m:oMath>
      <w: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样本级自适应尺度加权</w:t>
      </w:r>
      <w:r w:rsidRPr="00B14FA3">
        <w:rPr>
          <w:rFonts w:eastAsia="黑体"/>
          <w:b/>
          <w:bCs/>
          <w:szCs w:val="21"/>
        </w:rPr>
      </w:r>
    </w:p>
    <w:p w14:paraId="5F192824" w14:textId="77777777" w:rsidR="00B14FA3" w:rsidRPr="00B14FA3" w:rsidRDefault="00B14FA3" w:rsidP="00B14FA3">
      <w:pPr>
        <w:keepLines/>
        <w:spacing w:line="360" w:lineRule="auto"/>
      </w:pPr>
      <w: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
              </m:rPr>
              <m:t>X</m:t>
            </m:r>
          </m:e>
          <m:sub>
            <m:r>
              <m:t>n</m:t>
            </m:r>
          </m:sub>
        </m:sSub>
      </m:oMath>
      <w:r>
        <w:t>提取四维统计向量</w:t>
      </w:r>
      <m:oMath>
        <m:sSub>
          <m:e>
            <m:r>
              <m:rPr>
                <m:sty m:val="b"/>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t>，用这些统计量描述当前窗口状态，其中</w:t>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m:oMath>
        <m:sSub>
          <m:e>
            <m:r>
              <m:t>μ</m:t>
            </m:r>
          </m:e>
          <m:sub>
            <m:r>
              <m:t>n</m:t>
            </m:r>
          </m:sub>
        </m:sSub>
      </m:oMath>
      <w:r>
        <w:t>、</w:t>
      </w:r>
      <m:oMath>
        <m:sSub>
          <m:e>
            <m:r>
              <m:t>σ</m:t>
            </m:r>
          </m:e>
          <m:sub>
            <m:r>
              <m:t>n</m:t>
            </m:r>
          </m:sub>
        </m:sSub>
      </m:oMath>
      <w:r>
        <w:t>、</w:t>
      </w:r>
      <m:oMath>
        <m:sSub>
          <m:e>
            <m:r>
              <m:t>ℓ</m:t>
            </m:r>
          </m:e>
          <m:sub>
            <m:r>
              <m:t>n</m:t>
            </m:r>
          </m:sub>
        </m:sSub>
      </m:oMath>
      <w:r>
        <w:t>和</w:t>
      </w:r>
      <m:oMath>
        <m:sSub>
          <m:e>
            <m:r>
              <m:t>d</m:t>
            </m:r>
          </m:e>
          <m:sub>
            <m:r>
              <m:t>n</m:t>
            </m:r>
          </m:sub>
        </m:sSub>
      </m:oMath>
      <w:r>
        <w:t>分别描述输入窗口的总体水平、离散程度、最近状态和平均变化强度。</w:t>
      </w:r>
      <m:oMath>
        <m:sSub>
          <m:e>
            <m:r>
              <m:t>μ</m:t>
            </m:r>
          </m:e>
          <m:sub>
            <m:r>
              <m:t>n</m:t>
            </m:r>
          </m:sub>
        </m:sSub>
      </m:oMath>
      <w:r>
        <w:t>反映窗口整体流量水平，</w:t>
      </w:r>
      <m:oMath>
        <m:sSub>
          <m:e>
            <m:r>
              <m:t>σ</m:t>
            </m:r>
          </m:e>
          <m:sub>
            <m:r>
              <m:t>n</m:t>
            </m:r>
          </m:sub>
        </m:sSub>
      </m:oMath>
      <w:r>
        <w:t>刻画观测值的离散程度，</w:t>
      </w:r>
      <m:oMath>
        <m:sSub>
          <m:e>
            <m:r>
              <m:t>ℓ</m:t>
            </m:r>
          </m:e>
          <m:sub>
            <m:r>
              <m:t>n</m:t>
            </m:r>
          </m:sub>
        </m:sSub>
      </m:oMath>
      <w:r>
        <w:t>取窗口末时刻的平均状态，</w:t>
      </w:r>
      <m:oMath>
        <m:sSub>
          <m:e>
            <m:r>
              <m:t>d</m:t>
            </m:r>
          </m:e>
          <m:sub>
            <m:r>
              <m:t>n</m:t>
            </m:r>
          </m:sub>
        </m:sSub>
      </m:oMath>
      <w:r>
        <w:t>由相邻时间点的一阶变化得到。这4个统计量分别提供水平、波动、最近状态和局部变化信息，供路由器计算输入相关的尺度权重，而不直接参与未来流量数值的预测。</w:t>
      </w:r>
    </w:p>
    <w:p>
      <w:pPr/>
      <w: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其尺度分数计算为</w:t>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ty m:val="b"/>
              </m:rPr>
              <m:t>a</m:t>
            </m:r>
          </m:e>
          <m:sub>
            <m:r>
              <m:t>n</m:t>
            </m:r>
          </m:sub>
        </m:sSub>
        <m:r>
          <m:rPr>
            <m:sty m:val="p"/>
          </m:rPr>
          <m:t>=</m:t>
        </m:r>
        <m:sSub>
          <m:e>
            <m:r>
              <m:rPr>
                <m:sty m:val="b"/>
              </m:rPr>
              <m:t>W</m:t>
            </m:r>
          </m:e>
          <m:sub>
            <m:r>
              <m:t>2</m:t>
            </m:r>
          </m:sub>
        </m:sSub>
        <m:r>
          <m:rPr>
            <m:sty m:val="p"/>
          </m:rPr>
          <m:t>ReLU</m:t>
        </m:r>
        <m:r>
          <m:rPr>
            <m:sty m:val="p"/>
          </m:rPr>
          <m:t>(</m:t>
        </m:r>
        <m:sSub>
          <m:e>
            <m:r>
              <m:rPr>
                <m:sty m:val="b"/>
              </m:rPr>
              <m:t>W</m:t>
            </m:r>
          </m:e>
          <m:sub>
            <m:r>
              <m:t>1</m:t>
            </m:r>
          </m:sub>
        </m:sSub>
        <m:sSub>
          <m:e>
            <m:r>
              <m:rPr>
                <m:sty m:val="b"/>
              </m:rPr>
              <m:t>z</m:t>
            </m:r>
          </m:e>
          <m:sub>
            <m:r>
              <m:t>n</m:t>
            </m:r>
          </m:sub>
        </m:sSub>
        <m:r>
          <m:rPr>
            <m:sty m:val="p"/>
          </m:rPr>
          <m:t>+</m:t>
        </m:r>
        <m:sSub>
          <m:e>
            <m:r>
              <m:rPr>
                <m:sty m:val="b"/>
              </m:rPr>
              <m:t>b</m:t>
            </m:r>
          </m:e>
          <m:sub>
            <m:r>
              <m:t>1</m:t>
            </m:r>
          </m:sub>
        </m:sSub>
        <m:r>
          <m:rPr>
            <m:sty m:val="p"/>
          </m:rPr>
          <m:t>)</m:t>
        </m:r>
        <m:r>
          <m:rPr>
            <m:sty m:val="p"/>
          </m:rPr>
          <m:t>+</m:t>
        </m:r>
        <m:sSub>
          <m:e>
            <m:r>
              <m:rPr>
                <m:sty m:val="b"/>
              </m:rPr>
              <m:t>b</m:t>
            </m:r>
          </m:e>
          <m:sub>
            <m:r>
              <m:t>2</m:t>
            </m:r>
          </m:sub>
        </m:sSub>
        <m:r>
          <m:rPr>
            <m:sty m:val="p"/>
          </m:rPr>
          <m:t>.</m:t>
        </m:r>
      </m:oMath>
      <w:r w:rsidRPr="00B14FA3">
        <w:rPr>
          <w:rFonts w:ascii="Cambria Math" w:eastAsia="Cambria Math" w:hAnsi="Cambria Math"/>
          <w:kern w:val="0"/>
          <w:szCs w:val="20"/>
        </w:rPr>
        <w:tab/>
      </w:r>
      <w:r w:rsidRPr="00B14FA3">
        <w:rPr>
          <w:kern w:val="0"/>
          <w:szCs w:val="20"/>
        </w:rPr>
        <w:t>(11)</w:t>
      </w:r>
    </w:p>
    <w:p w14:paraId="2935E851" w14:textId="77777777" w:rsidR="00B14FA3" w:rsidRPr="00B14FA3" w:rsidRDefault="00B14FA3" w:rsidP="00B14FA3">
      <w:pPr>
        <w:keepNext/>
        <w:keepLines/>
        <w:spacing w:line="360" w:lineRule="auto"/>
      </w:pPr>
      <w:r>
        <w:rPr>
          <w:szCs w:val="21"/>
        </w:rPr>
        <w:t>对式（11）的3个尺度分数作Softmax归一化，得到3个总和为1的非负权重；各专家在最终预测中的相对贡献由这些权重表示：</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acc>
              <m:accPr>
                <m:chr m:val="̂"/>
              </m:accPr>
              <m:e>
                <m:r>
                  <m:rPr>
                    <m:sty m:val="b"/>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
                  </m:rPr>
                  <m:t>Y</m:t>
                </m:r>
              </m:e>
            </m:acc>
          </m:e>
          <m:sub>
            <m:r>
              <m:t>n</m:t>
            </m:r>
          </m:sub>
          <m:sup>
            <m:r>
              <m:rPr>
                <m:sty m:val="p"/>
              </m:rPr>
              <m:t>(</m:t>
            </m:r>
            <m:r>
              <m:t>s</m:t>
            </m:r>
            <m:r>
              <m:rPr>
                <m:sty m:val="p"/>
              </m:rPr>
              <m:t>)</m:t>
            </m:r>
          </m:sup>
        </m:sSubSup>
        <m:r>
          <m:rPr>
            <m:sty m:val="p"/>
          </m: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widowControl/>
        <w:spacing w:line="360" w:lineRule="auto"/>
      </w:pPr>
      <w:r>
        <w:t>式（13）利用上述权重对3个DLinear专家的预测结果进行加权求和，得到最终预测</w:t>
      </w:r>
      <m:oMath>
        <m:sSub>
          <m:e>
            <m:acc>
              <m:accPr>
                <m:chr m:val="̂"/>
              </m:accPr>
              <m:e>
                <m:r>
                  <m:rPr>
                    <m:sty m:val="b"/>
                  </m:rPr>
                  <m:t>Y</m:t>
                </m:r>
              </m:e>
            </m:acc>
          </m:e>
          <m:sub>
            <m:r>
              <m:t>n</m:t>
            </m:r>
          </m:sub>
        </m:sSub>
      </m:oMath>
      <w:r>
        <w:t>。该组权重由输入窗口计算，并由同一窗口内的全部OD变量共享。</w:t>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1.4 模型训练与预测输出</w:t>
      </w:r>
      <w:r>
        <w:rPr>
          <w:rFonts w:eastAsia="黑体"/>
          <w:b/>
          <w:bCs/>
          <w:szCs w:val="21"/>
        </w:rPr>
      </w:r>
    </w:p>
    <w:p w14:paraId="1B83BA58" w14:textId="77777777" w:rsidR="00B14FA3" w:rsidRPr="00B14FA3" w:rsidRDefault="00B14FA3" w:rsidP="00B14FA3">
      <w:pPr>
        <w:keepNext/>
        <w:keepLines/>
        <w:spacing w:line="360" w:lineRule="auto"/>
      </w:pPr>
      <w:r w:rsidRPr="00B14FA3">
        <w:rPr>
          <w:szCs w:val="21"/>
        </w:rPr>
        <w:t>本文以均方误差训练模型。损失在训练样本、未来H个预测时刻以及全部C个OD变量上计算，覆盖不同预测步与不同OD维度的偏差。各项偏差在同一目标中汇总，用于模型参数更新。对应训练目标为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训练采用Adam优化器更新参数，并根据验证集MSE选择最终使用的模型。</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widowControl/>
      </w:pPr>
      <w:r>
        <w:t>模型计算依次经过三个环节：平均池化把同一历史窗口转换为3个时间分辨率，DLinear专家分别给出候选预测，路由网络再根据原始窗口的4个统计量确定融合权重。后续实验据此设置单尺度DLinear、固定等权多尺度、全局可学习固定权重模型、恒定输入路由模型和本文方法，用同一组专家结构区分多尺度信息与样本级加权的作用。</w:t>
      </w:r>
    </w:p>
    <w:p>
      <w:pPr>
        <w:widowControl/>
      </w:pPr>
      <w:r>
        <w:t>推理时，将历史OD窗口按训练阶段确定的规则预处理，再经多尺度专家与路由融合得到未来多步预测。这些输出描述OD流量需求，不是链路路由或带宽分配方案；具体管理动作需要由外部模块结合网络条件确定。</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分为外部基线比较、核心消融和路由行为分析三个层次。LightTS提供独立结构的外部基线，DLinear提供单尺度参照；固定等权、全局可学习常权重、恒定输入路由与样本级路由模型采用相同的三个尺度专家结构，并分别训练，分别比较多尺度结构、非等权融合与输入相关权重的表现；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数据取自CESNET TS-Zoo[9]，包括按1 h聚合的Abilene[10]与GÉANT[11]骨干网流量矩阵。Abilene共有4656个时间点，保留144维有效OD流量；GÉANT共有2849个时间点，去除恒定通道后保留524维有效OD流量。两套数据的序列长度和变量规模不同，分别运行相同预测流程，以观察这些数据条件下的表现。沿原序列的时间顺序划分训练集、验证集和测试集，比例为6∶2∶2。输入长度统一设为L=96，预测长度统一设为H=24。预处理按第1.1节执行，数据规模及窗口数量见表1。</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为控制数据与训练条件，实验未分别搜索各模型的最优超参数。DLinear、固定等权多尺度、全局可学习权重、恒定输入路由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widowControl/>
      </w:pPr>
      <w:r>
        <w:t>外部基线比较使用随机种子42～44共3个共同随机种子。核心消融使用随机种子42～49共8个共同随机种子，比较DLinear、固定等权多尺度、全局可学习权重、恒定输入路由和本文方法。全局权重由等权初始化，恒定输入路由对所有窗口使用全零路由输入；两者均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对照包括DLinear、LightTS、固定等权多尺度、全局可学习权重和恒定输入路由五类模型。DLinear用于比较单一尺度与多尺度结构；LightTS提供独立轻量模型基线。后三种多尺度对照与本文方法保留相同的尺度集合{1,2,4}和DLinear专家，分别使用等权、全局可学习权重和恒定输入路由权重。后两者均对全部窗口使用一组固定权重，可检验完整模型相对常权重方案的误差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为减少主干结构对融合方式比较的干扰，各尺度专家统一采用DLinear。预测误差可能同时受到这两方面影响，因此需要控制主干差异。单尺度预测、固定等权、全局可学习固定权重、恒定输入路由和样本级路由共五种设置，均需在这一主干下比较。过于复杂的尺度专家会使主干结构与融合机制对误差变化的影响交织。DLinear的基本预测能力和清晰参数关系使其适合承担统一尺度专家。共用这一专家结构，便于分别考察预测主干与尺度融合的影响。</w:t>
      </w:r>
    </w:p>
    <w:p w14:paraId="3EC5233F" w14:textId="77777777" w:rsidR="00B14FA3" w:rsidRPr="00B14FA3" w:rsidRDefault="00B14FA3" w:rsidP="00B14FA3">
      <w:r>
        <w:rPr>
          <w:color w:val="000000"/>
          <w:szCs w:val="21"/>
        </w:rPr>
        <w:t>为了区分多尺度结构、非等权分配与样本相关分配的作用，设置三种共享相同专家的对照：固定等权模型将三个尺度恒定设为1/3；全局可学习权重模型以三个可训练参数经Softmax得到一组常权重；恒定输入路由模型保留完整路由网络，但训练和推理时都向路由器输入全零窗口，使全部样本共用一组可学习权重。三种模型的尺度专家均接收真实历史窗口。</w:t>
      </w:r>
    </w:p>
    <w:p w14:paraId="2BE60480" w14:textId="77777777" w:rsidR="00B14FA3" w:rsidRPr="00B14FA3" w:rsidRDefault="00B14FA3" w:rsidP="00B14FA3">
      <w:r>
        <w:rPr>
          <w:color w:val="000000"/>
          <w:szCs w:val="21"/>
        </w:rPr>
        <w:t>均方误差（MSE）、平均绝对误差（MAE）及均方根误差（RMSE）用于评价预测性能。其中MSE采用式（14），MAE和RMSE的定义如下</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0"/>
        </w:rPr>
        <w:tab/>
        <w:t>(16)</w:t>
      </w:r>
    </w:p>
    <w:p w14:paraId="015A2BBD" w14:textId="77777777" w:rsidR="00B14FA3" w:rsidRPr="00B14FA3" w:rsidRDefault="00B14FA3" w:rsidP="00B14FA3">
      <w:r>
        <w:rPr>
          <w:color w:val="000000"/>
          <w:szCs w:val="21"/>
        </w:rPr>
        <w:t>误差在标准化空间计算，各指标越小，预测误差越低。正文以MSE和MAE为主要指标：前者对较大误差更敏感，后者反映平均绝对偏差。RMSE为MSE的平方根，用于补充误差幅值。随机种子42～44的结果在表2中以均值±标准差列出；随机种子42～49的结果在表3中采用同一统计形式。均值描述平均水平，标准差描述种子间波动。相对改进率按共同随机种子逐一配对计算，再将所得改进率取平均；该百分比使用逐种子结果，而非表内四舍五入后的均值。</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2.3 总体预测性能与基线比较</w:t>
      </w:r>
      <w:r>
        <w:rPr>
          <w:rFonts w:ascii="Arial" w:eastAsia="黑体" w:hAnsi="Arial"/>
          <w:b/>
          <w:bCs/>
          <w:color w:val="000000"/>
          <w:szCs w:val="21"/>
        </w:rPr>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也以DLinear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以LightTS为独立外部基线，使用两种方法共有的随机种子42～44。每次实验的相对降低率按（LightTS误差−本文方法误差）/LightTS误差计算。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GÉANT的OD变量数较多，本文方法相对LightTS的MSE降幅也高于Abilene。不过，两者同时出现不能确立变量规模与误差降幅之间的因果关系。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表3汇总随机种子42～49的8次核心消融，列出五种模型的参数量、MSE和MAE。</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0.181±0.006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0.379±0.007</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pPr>
            <w:r>
              <w:rPr>
                <w:color w:val="000000"/>
                <w:szCs w:val="21"/>
              </w:rPr>
              <w:t>0.366±0.018</w:t>
            </w:r>
          </w:p>
        </w:tc>
      </w:tr>
    </w:tbl>
    <w:p>
      <w:pPr/>
      <w:r>
        <w:t>全局可学习权重与恒定输入路由均对所有窗口使用一组可学习权重，后者与本文方法同为8339个标称参数。相对这两种对照，本文方法在Abilene上的逐种子平均MSE改进均约1.80%，在GÉANT上分别为4.31%和4.97%，各有6/8和7/8个种子胜出。相对恒定输入路由的95%置信区间分别为[0.49%,3.11%]和[−1.62%,11.56%]，相对全局权重则为[0.01%,3.58%]和[−2.51%,11.13%]；GÉANT两项区间均跨零。</w:t>
      </w:r>
    </w:p>
    <w:p w14:paraId="68B92BCA" w14:textId="77777777" w:rsidR="00B14FA3" w:rsidRPr="00B14FA3" w:rsidRDefault="00B14FA3" w:rsidP="00B14FA3">
      <w:pPr>
        <w:keepLines/>
      </w:pPr>
      <w:r>
        <w:rPr>
          <w:color w:val="000000"/>
          <w:szCs w:val="21"/>
        </w:rPr>
        <w:t>图3以DLinear和固定等权多尺度模型为对照，列出随机种子42～49的MSE、MAE及RMSE相对改进率。两种方法误差相等的位置由0%虚线标出，据此判断改进方向。各随机种子的结果用散点表示，8次结果的分布由半小提琴汇总。黑色菱形和横向误差线分别表示8次改进率均值及其95%置信区间。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虽均为正值，GÉANT的种子间波动仍较明显，平均收益的稳定性需结合图中置信区间判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widowControl/>
      </w:pPr>
      <w:r>
        <w:t>等权融合采用固定等权模型检验。全局可学习权重与恒定输入路由作为两类常权重对照，用于考察融合方式改变后的误差。表3中本文方法相对两者的平均MSE均较低，但GÉANT的配对区间均跨越零；其中种子43相对恒定输入路由退步12.78%。这些结果比较的是完整方法与两类常权重方案。各模型独立训练，恒定输入路由的首层输入权重又不起作用，因此误差差异不能唯一归因于逐窗口权重变化。图4进一步汇总全测试点的整体偏差，并用按真实值波动选取的预测轨迹考察局部误差。</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预测行为与尺度权重分析</w:t>
      </w:r>
      <w:r>
        <w:rPr>
          <w:rFonts w:ascii="Arial" w:eastAsia="黑体" w:hAnsi="Arial"/>
          <w:b/>
          <w:bCs/>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3661"/>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349240" cy="3913661"/>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覆盖24个预测步和全部有效OD通道。真实值按分位点分为最多40个区间，四种模型分别在区间内汇总8种子的预测值并取平均，由这些分组平均值构成曲线。灰色虚线给出理想预测位置，浅色带给出种子间±1个标准差。高真实值区间中，四种模型的分组预测值均偏低，本文方法的平均偏差相对较小。这里比较的是区间平均值，不能代替各测试点的误差判断。图4(c～f)固定随机种子42，先依据真实序列选取标准差接近第75百分位的OD通道，再选波动程度接近中位数和第90百分位的窗口。通道及窗口的选择均不依据模型误差，只使用真实序列。本文方法在四例中的三例取得较低的24步均方误差，均低于DLinear、固定等权和恒定输入路由模型；Abilene典型波动窗口是例外，本文方法在该例中较差。这些轨迹用于解释所选窗口内的局部预测行为，总体精度仍按表3的配对统计判断。测试窗口相互重叠，故统计时不把重叠窗口作为独立重复。</w:t>
      </w:r>
    </w:p>
    <w:p w14:paraId="0C8325AF" w14:textId="77777777" w:rsidR="00B14FA3" w:rsidRPr="00B14FA3" w:rsidRDefault="00B14FA3" w:rsidP="00B14FA3">
      <w:r>
        <w:rPr>
          <w:color w:val="000000"/>
          <w:szCs w:val="21"/>
        </w:rPr>
        <w:t>随机种子42～49的三个尺度权重见图5，小提琴分布包含全部测试窗口与种子。蓝、绿、橙色分别表示尺度1、2和4。彩色散点显示同一种子在全部测试窗口上的平均权重。对8个种子的这些均值再计算均值±1个标准差，以黑色菱形和误差线表示；固定等权1/3与汇总分布中位数分别用水平虚线及短横线标示。小提琴宽度同时受种子间差异与窗口间差异影响。因此，仅凭这一混合分布的宽度，无法判断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展示的汇总分布，把种子间差异与同一种子内部的窗口差异放在一起。若仅依据这一分布判断路由机制，仍缺少路由器能否有效识别各窗口尺度需求的证据。</w:t>
      </w:r>
    </w:p>
    <w:p w14:paraId="2B7D35DC" w14:textId="77777777" w:rsidR="00B14FA3" w:rsidRPr="00B14FA3" w:rsidRDefault="00B14FA3" w:rsidP="00B14FA3">
      <w:r>
        <w:rPr>
          <w:color w:val="000000"/>
          <w:szCs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依据这些分组结果，当前还不能支持“波动越强，路由收益越大”的机制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2.6 运行开销与网络管理应用讨论</w:t>
      </w:r>
    </w:p>
    <w:p>
      <w:pPr>
        <w:keepNext w:val="0"/>
        <w:keepLines/>
      </w:pPr>
      <w: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pPr>
      <w:r>
        <w:t>使用预测长度为24的8个随机种子检查点单独测量前向计算开销。计时运行于NVIDIA GTX 1060，预先加载测试张量，并将批量大小设为16。本文方法在Abilene和GÉANT上的平均每批前向耗时分别为2.65 ms和2.61 ms，固定等权模型分别为2.38 ms和2.10 ms，单尺度DLinear分别为0.77 ms和0.70 ms。前向计时不包含数据读取和传输，端到端部署时延仍需计入这两部分。本文方法的参数量较小，但三个尺度专家及路由器带来的额外计算仍增加推理开销。</w:t>
      </w:r>
    </w:p>
    <w:p>
      <w:pPr>
        <w:keepNext w:val="0"/>
        <w:keepLines/>
      </w:pPr>
      <w:r>
        <w:t>应用时，可由运维模块定期读取小时级历史OD序列，调用预测模型生成未来一天的需求估计，辅助观察高需求时段与容量变化。这里给出的是使用流程，现有实验仍为离线预测评价，尚未验证在线管理效果。</w:t>
      </w:r>
    </w:p>
    <w:p>
      <w:pPr>
        <w:keepNext w:val="0"/>
        <w:keepLines/>
      </w:pPr>
      <w:r>
        <w:t>图4显示各模型在高真实值区间仍有低估，本文方法的分组平均偏差相对较小。对于依赖预测的容量评估，这提示需要关注高需求时段的低估风险；分组偏差改善尚不能直接解释为拥塞率下降或调度收益增加。</w:t>
      </w:r>
    </w:p>
    <w:p>
      <w:pPr>
        <w:keepNext w:val="0"/>
        <w:keepLines/>
      </w:pPr>
      <w:r>
        <w:t>实际使用还需将预测恢复到原始流量量纲，并结合拓扑、路由和链路容量，才能由OD需求进一步分析链路负载。当前误差指标在标准化空间计算，前向计时也不包含完整部署流程，因此不能据此认定端到端运行或资源调度效果。</w:t>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构建了处理骨干网络OD流量短时波动与较慢趋势的多尺度预测结构。尺度1、2和4的DLinear专家独立预测，轻量路由网络根据输入计算融合权重，将各专家结果组合为最终输出。预测长度为24时，在Abilene和GÉANT两套实验中，本文方法的平均误差均低于作为比较对象的DLinear、LightTS和固定等权模型。相对全局可学习权重与恒定输入路由两类常权重对照，本文方法在Abilene上的逐种子平均MSE改进均约1.80%；GÉANT上的对应改进分别为4.31%和4.97%，但两项95%置信区间均跨越零。</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6450C208" w14:textId="77777777" w:rsidR="00B14FA3" w:rsidRPr="00B14FA3" w:rsidRDefault="00B14FA3" w:rsidP="00B14FA3">
      <w:r>
        <w:rPr>
          <w:color w:val="000000"/>
          <w:szCs w:val="21"/>
        </w:rPr>
        <w:t>按真实值分组的校准结果表明，各模型在高流量端仍有低估，本文方法的平均偏差相对较小。由于该比较以分组平均值为依据，不能推断每个测试点的预测都更准确。现有结果可为小时级骨干网需求分析提供预测参考，实际运维和资源配置收益仍需另行验证。</w:t>
      </w:r>
    </w:p>
    <w:p w14:paraId="6450C208" w14:textId="77777777" w:rsidR="00B14FA3" w:rsidRPr="00B14FA3" w:rsidRDefault="00B14FA3" w:rsidP="00B14FA3">
      <w:r>
        <w:rPr>
          <w:color w:val="000000"/>
          <w:szCs w:val="21"/>
        </w:rPr>
        <w:t>路由器是否稳定匹配窗口尺度需求，在逐种子权重分析和波动分组分析中仍缺乏充分证据。输入相关融合收益的稳定性，仍需在更多数据与不同预测设置下检验。</w:t>
      </w:r>
    </w:p>
    <w:p w14:paraId="0930A59F" w14:textId="77777777" w:rsidR="00B14FA3" w:rsidRPr="00B14FA3" w:rsidRDefault="00B14FA3" w:rsidP="00B14FA3">
      <w:pPr>
        <w:keepNext/>
        <w:pageBreakBefore/>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keepLines/>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ind w:left="420" w:hanging="420"/>
      </w:pPr>
      <w:r w:rsidRPr="00B14FA3">
        <w:rPr>
          <w:sz w:val="18"/>
        </w:rPr>
        <w:t>[2] QIN L, GU H, WEI W,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ind w:left="420" w:hanging="420"/>
      </w:pPr>
      <w:r>
        <w:rPr>
          <w:sz w:val="18"/>
        </w:rPr>
        <w:t>[3]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keepLines/>
        <w:ind w:left="420" w:hanging="420"/>
      </w:pPr>
      <w:r>
        <w:rPr>
          <w:sz w:val="18"/>
        </w:rPr>
        <w:t>[4]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3FA328DF" w14:textId="77777777" w:rsidR="00B14FA3" w:rsidRPr="00B14FA3" w:rsidRDefault="00B14FA3" w:rsidP="00B14FA3">
      <w:pPr>
        <w:keepLines/>
        <w:ind w:left="420" w:hanging="420"/>
      </w:pPr>
      <w:r w:rsidRPr="00B14FA3">
        <w:rPr>
          <w:sz w:val="18"/>
        </w:rPr>
        <w:t>[5]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ind w:left="420" w:hanging="420"/>
      </w:pPr>
      <w:r w:rsidRPr="00B14FA3">
        <w:rPr>
          <w:sz w:val="18"/>
        </w:rPr>
        <w:t>[6]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keepLines/>
        <w:ind w:left="420" w:hanging="420"/>
      </w:pPr>
      <w:r>
        <w:rPr>
          <w:sz w:val="18"/>
        </w:rPr>
        <w:t>[7] WANG S, WU H, SHI X, et al. TimeMixer: decomposable multiscale mixing for time series forecasting[C]//International Conference on Learning Representations. 2024.</w:t>
      </w:r>
    </w:p>
    <w:p w14:paraId="32B65309" w14:textId="77777777" w:rsidR="00B14FA3" w:rsidRPr="00B14FA3" w:rsidRDefault="00B14FA3" w:rsidP="00B14FA3">
      <w:pPr>
        <w:keepLines/>
        <w:ind w:left="420" w:hanging="420"/>
      </w:pPr>
      <w:r>
        <w:rPr>
          <w:sz w:val="18"/>
        </w:rPr>
        <w:t>[8]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keepLines/>
        <w:ind w:left="420" w:hanging="420"/>
      </w:pPr>
      <w:r>
        <w:rPr>
          <w:sz w:val="18"/>
        </w:rPr>
        <w:t>[9]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keepLines/>
        <w:ind w:left="420" w:hanging="420"/>
      </w:pPr>
      <w:r>
        <w:rPr>
          <w:sz w:val="18"/>
        </w:rPr>
        <w:t>[10]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ind w:left="420" w:hanging="420"/>
      </w:pPr>
      <w:r>
        <w:rPr>
          <w:sz w:val="18"/>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