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结果表明，多尺度加权在两套骨干网数据上取得了较好的平均预测精度，可为小时级流量需求分析提供预测参考。</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The multiscale weighting model achieves lower mean prediction errors on both backbone datasets and offers a forecasting basis for hourly traffic-demand analysis.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源—目的节点对（origin-destination，OD）流量描述骨干网络不同节点对之间的通信需求。容量规划、拥塞预警、资源调度和流量工程需要判断未来流量状态，本文因而预测后续OD流量。面向小时级骨干网需求分析，预测结果可为流量趋势观察和容量规划提供参考。在云计算、视频业务、数据中心互联及智能网络应用持续增加的背景下，业务在网络内部的迁移和聚集更频繁。这使后续流量的时间变化更加复杂，也增加了预测难度。周期变化、局部波动与突发变化常叠加在同一OD流量序列中，不同变量又有各自的数值范围。这类OD数据包含的复杂短时变化，难以仅用较平稳单变量序列的趋势描述完整覆盖。模型在预测较长时间趋势时，仍需响应短时状态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时间分辨率决定同一流量序列中哪些特征更易观察：较多局部细节在原始分辨率下保留，短时起伏也更清晰；时间聚合平滑部分局部扰动后，较慢的变化趋势更突出。在Zhou等[5]的多尺度网络流量预测研究中，深度回声状态网络从不同时间分辨率的序列中提取信息，以利用各分辨率之间的互补性。利用多尺度信息还涉及模型结构开销。DLinear[6]通过时间序列分解和线性映射完成预测，TimeMixer[7]以多尺度混合机制处理不同分辨率序列。LightTS[8]则采用采样导向的MLP结构，实现快速多变量时间序列预测。本文将多时间尺度信息与模型规模共同作为预测结构的设计约束。</w:t>
      </w:r>
    </w:p>
    <w:p w14:paraId="65582279" w14:textId="77777777" w:rsidR="00B14FA3" w:rsidRPr="00B14FA3" w:rsidRDefault="00B14FA3" w:rsidP="00B14FA3">
      <w:pPr>
        <w:rPr>
          <w:color w:val="000000"/>
        </w:rPr>
      </w:pPr>
      <w:r>
        <w:rPr>
          <w:color w:val="000000"/>
          <w:szCs w:val="21"/>
        </w:rPr>
        <w:t>常见流程先给定时间尺度，再分别计算结果并按既定方式融合。各输入窗口中的短时波动和平缓趋势占比不同，尺度1、2和4的预测作用也可能随窗口状态变化。仅采用单一尺度会缺少其他时间分辨率的信息。构造多尺度序列后，固定融合比例仍不使用窗口状态差异；本文则根据当前输入窗口计算融合权重，将状态信息用于各尺度结果的组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的区别在于历史信息的平滑程度。原始尺度较完整地保留局部变化，较粗尺度则通过时间聚合减弱短时扰动，突出较慢的趋势。3个尺度各自预测，保留独立结果后，由路由网络确定每个样本的融合比例。结构较简洁的DLinear用于全部专家，控制模型规模，并为多尺度输入和样本级融合提供相同的比较主干。</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1.1 预测任务与数据预处理</w:t>
      </w:r>
      <w:r w:rsidRPr="00B14FA3">
        <w:rPr>
          <w:rFonts w:eastAsia="黑体"/>
          <w:b/>
          <w:bCs/>
          <w:szCs w:val="21"/>
        </w:rPr>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，t表示时间索引，C表示有效OD变量数。沿时间轴对连续序列生成滑动窗口，作为监督学习样本；第n个样本由历史窗口</w:t>
      </w:r>
      <m:oMath>
        <m:sSub>
          <m:e>
            <m:r>
              <m:rPr>
                <m:sty m:val="b"/>
              </m:rPr>
              <m:t>X</m:t>
            </m:r>
          </m:e>
          <m:sub>
            <m:r>
              <m:t>n</m:t>
            </m:r>
          </m:sub>
        </m:sSub>
      </m:oMath>
      <w:r>
        <w:t>及预测目标</w:t>
      </w:r>
      <m:oMath>
        <m:sSub>
          <m:e>
            <m:r>
              <m:rPr>
                <m:sty m:val="b"/>
              </m:rPr>
              <m:t>Y</m:t>
            </m:r>
          </m:e>
          <m:sub>
            <m:r>
              <m:t>n</m:t>
            </m:r>
          </m:sub>
        </m:sSub>
      </m:oMath>
      <w:r>
        <w:t>组成：</w:t>
      </w:r>
      <m:oMath>
        <m:sSub>
          <m:e>
            <m:r>
              <m:rPr>
                <m:sty m:val="b"/>
              </m:rPr>
              <m:t>X</m:t>
            </m:r>
          </m:e>
          <m:sub>
            <m:r>
              <m:t>n</m:t>
            </m:r>
          </m:sub>
        </m:sSub>
      </m:oMath>
      <w:r>
        <w:t>覆盖连续L个时间点，</w:t>
      </w:r>
      <m:oMath>
        <m:sSub>
          <m:e>
            <m:r>
              <m:rPr>
                <m:sty m:val="b"/>
              </m:rPr>
              <m:t>Y</m:t>
            </m:r>
          </m:e>
          <m:sub>
            <m:r>
              <m:t>n</m:t>
            </m:r>
          </m:sub>
        </m:sSub>
      </m:oMath>
      <w: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本文取L=96步作为历史输入、H=24步作为未来预测，C为各数据集保留的有效OD维度数。需要学习的预测映射记为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r>
        <w:t>预处理保留历史窗口原有的时间分辨率，各尺度共用这一窗口。不同尺度序列在此后构造，分别向各专家提供细粒度变化和较平滑的趋势。</w:t>
      </w:r>
    </w:p>
    <w:p>
      <w:pPr/>
      <w:r>
        <w:t>在第2.1节所用的1 h聚合数据上，96步历史输入对应过去96 h，24步预测对应未来24 h。该设置可用于观察小时级需求变化，并提供未来一天的流量预测。</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1.2 多尺度构造与DLinear专家</w:t>
      </w:r>
      <w:r w:rsidRPr="00B14FA3">
        <w:rPr>
          <w:rFonts w:eastAsia="黑体"/>
          <w:b/>
          <w:bCs/>
          <w:szCs w:val="21"/>
        </w:rPr>
      </w:r>
    </w:p>
    <w:p w14:paraId="70A22C31" w14:textId="77777777" w:rsidR="00B14FA3" w:rsidRPr="00B14FA3" w:rsidRDefault="00B14FA3" w:rsidP="00B14FA3">
      <w:pPr>
        <w:keepNext/>
        <w:keepLines/>
        <w:spacing w:line="360" w:lineRule="auto"/>
      </w:pPr>
      <w:r w:rsidRPr="00B14FA3">
        <w:rPr>
          <w:szCs w:val="21"/>
        </w:rPr>
        <w:t>设尺度集合S={1,2,4}。尺度s规定时间维聚合的窗口大小与步长，两者取值相同。采用非重叠平均池化，任一尺度s的序列构造为：</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L=96时，尺度1保留原始96步输入。相邻2个时间点的均值构成尺度2的聚合点，序列长度为48步；尺度4以每4个时间点的均值构成聚合点，序列长度为24步。尺度1不压缩时间轴，保留较完整的短时起伏；尺度2适度平滑局部变化。尺度4对短时间内的高频变化进一步平滑，较慢的趋势因而更突出。多分辨率输入由无需训练参数的平均池化构造，尺度变换也不另设可训练模块，因而这部分输入构造不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96步历史窗口在尺度1、2和4下均可得到整数长度序列，专家数量由这一尺度设置确定。更多尺度会带来更粗、有效时间长度更短的序列，还需为相应预测增加专家分支。固定尺度组合{1,2,4}是在细粒度信息、趋势信息和模型规模之间作出的取舍。采用非重叠池化时，原始时间点在同一尺度内只参与一次聚合，各尺度的时间聚合含义因此较为直接。</w:t>
      </w:r>
    </w:p>
    <w:p w14:paraId="0C0C1858" w14:textId="77777777" w:rsidR="00B14FA3" w:rsidRPr="00B14FA3" w:rsidRDefault="00B14FA3" w:rsidP="00B14FA3">
      <w:pPr>
        <w:spacing w:line="360" w:lineRule="auto"/>
      </w:pPr>
      <w: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样本级自适应尺度加权</w:t>
      </w:r>
      <w:r w:rsidRPr="00B14FA3">
        <w:rPr>
          <w:rFonts w:eastAsia="黑体"/>
          <w:b/>
          <w:bCs/>
          <w:szCs w:val="21"/>
        </w:rPr>
      </w:r>
    </w:p>
    <w:p w14:paraId="5F192824" w14:textId="77777777" w:rsidR="00B14FA3" w:rsidRPr="00B14FA3" w:rsidRDefault="00B14FA3" w:rsidP="00B14FA3">
      <w:pPr>
        <w:keepLines/>
        <w:spacing w:line="360" w:lineRule="auto"/>
      </w:pPr>
      <w: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widowControl/>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1.4 模型训练与预测输出</w:t>
      </w:r>
      <w:r>
        <w:rPr>
          <w:rFonts w:eastAsia="黑体"/>
          <w:b/>
          <w:bCs/>
          <w:szCs w:val="21"/>
        </w:rPr>
      </w:r>
    </w:p>
    <w:p w14:paraId="1B83BA58" w14:textId="77777777" w:rsidR="00B14FA3" w:rsidRPr="00B14FA3" w:rsidRDefault="00B14FA3" w:rsidP="00B14FA3">
      <w:pPr>
        <w:keepNext/>
        <w:keepLines/>
        <w:spacing w:line="360" w:lineRule="auto"/>
      </w:pPr>
      <w:r w:rsidRPr="00B14FA3">
        <w:rPr>
          <w:szCs w:val="21"/>
        </w:rPr>
        <w:t>本文以均方误差训练模型。损失在训练样本、未来H个预测时刻以及全部C个OD变量上计算，覆盖不同预测步与不同OD维度的偏差。各项偏差在同一目标中汇总，用于模型参数更新。对应训练目标为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训练采用Adam优化器更新参数，并根据验证集MSE选择最终使用的模型。</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pPr>
        <w:widowControl/>
      </w:pPr>
      <w: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数据取自CESNET TS-Zoo[9]，包括按1 h聚合的Abilene[10]与GÉANT[11]骨干网流量矩阵。Abilene共有4656个时间点，保留144维有效OD流量；GÉANT共有2849个时间点，去除恒定通道后保留524维有效OD流量。两套数据的序列长度和变量规模不同，分别运行相同预测流程，以观察这些数据条件下的表现。沿原序列的时间顺序划分训练集、验证集和测试集，比例为6∶2∶2。输入长度统一设为L=96，预测长度统一设为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为减少主干结构对融合方式比较的干扰，各尺度专家统一采用DLinear。单尺度预测、固定等权、全局可学习固定权重、恒定输入路由和样本级路由共五种设置均采用这一主干，使实验重点落在尺度融合方式上。</w:t>
      </w:r>
    </w:p>
    <w:p w14:paraId="3EC5233F" w14:textId="77777777" w:rsidR="00B14FA3" w:rsidRPr="00B14FA3" w:rsidRDefault="00B14FA3" w:rsidP="00B14FA3">
      <w:r>
        <w:rPr>
          <w:color w:val="000000"/>
          <w:szCs w:val="21"/>
        </w:rPr>
        <w:t>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误差在标准化空间计算，各指标越小，预测误差越低。正文以MSE和MAE为主要指标：前者对较大误差更敏感，后者反映平均绝对偏差。RMSE为MSE的平方根，用于补充误差幅值。随机种子42～44的结果在表2中以均值±标准差列出；随机种子42～49的结果在表3中采用同一统计形式。均值描述平均水平，标准差描述种子间波动。相对改进率按共同随机种子逐一配对计算，再将所得改进率取平均；该百分比使用逐种子结果，而非表内四舍五入后的均值。</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2.3 总体预测性能与基线比较</w:t>
      </w:r>
      <w:r>
        <w:rPr>
          <w:rFonts w:ascii="Arial" w:eastAsia="黑体" w:hAnsi="Arial"/>
          <w:b/>
          <w:bCs/>
          <w:color w:val="000000"/>
          <w:szCs w:val="21"/>
        </w:rPr>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这说明该方法在变量规模不同的两套数据上均保持了预测优势。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以DLinear和固定等权多尺度模型为对照，列出随机种子42～49的MSE、MAE及RMSE相对改进率。两种方法误差相等的位置由0%虚线标出，据此判断改进方向。各随机种子的结果用散点表示，8次结果的分布由半小提琴汇总。黑色菱形和横向误差线分别表示8次改进率均值及其95%置信区间。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等权融合采用固定等权模型检验。全局可学习权重与恒定输入路由作为两类常权重对照，用于考察融合方式改变后的误差。表3中本文方法相对两者的平均MSE均较低，但GÉANT的配对区间均跨越零；其中种子43相对恒定输入路由退步12.78%。两类对照共同显示，本文方法在八次重复实验中的平均MSE较低。图4进一步汇总全测试点的整体偏差，并用按真实值波动选取的预测轨迹考察局部误差。</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预测行为与尺度权重分析</w:t>
      </w:r>
      <w:r>
        <w:rPr>
          <w:rFonts w:ascii="Arial" w:eastAsia="黑体" w:hAnsi="Arial"/>
          <w:b/>
          <w:bCs/>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覆盖24个预测步和全部有效OD通道。真实值按分位点分为最多40个区间，四种模型分别在区间内汇总8种子的预测值并取平均，由这些分组平均值构成曲线。灰色虚线给出理想预测位置，浅色带给出种子间±1个标准差。高真实值区间中，四种模型的分组预测值均偏低，本文方法的平均偏差相对较小。图4(c～f)固定随机种子42，先依据真实序列选取标准差接近第75百分位的OD通道，再选波动程度接近中位数和第90百分位的窗口。通道及窗口的选择均不依据模型误差，只使用真实序列。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0C8325AF" w14:textId="77777777" w:rsidR="00B14FA3" w:rsidRPr="00B14FA3" w:rsidRDefault="00B14FA3" w:rsidP="00B14FA3">
      <w:r>
        <w:rPr>
          <w:color w:val="000000"/>
          <w:szCs w:val="21"/>
        </w:rPr>
        <w:t>随机种子42～49的三个尺度权重见图5，小提琴分布包含全部测试窗口与种子。蓝、绿、橙色分别表示尺度1、2和4。彩色散点显示同一种子在全部测试窗口上的平均权重。对8个种子的这些均值再计算均值±1个标准差，以黑色菱形和误差线表示；固定等权1/3与汇总分布中位数分别用水平虚线及短横线标示。小提琴宽度同时反映种子间和窗口间的权重差异。</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r>
        <w:rPr>
          <w:color w:val="000000"/>
          <w:szCs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运行开销与网络管理应用讨论</w:t>
      </w:r>
    </w:p>
    <w:p>
      <w:pPr>
        <w:keepNext w:val="0"/>
        <w:keepLines/>
      </w:pPr>
      <w: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pPr>
      <w:r>
        <w:t>使用预测长度为24的8个随机种子检查点单独测量前向计算开销。计时运行于NVIDIA GTX 1060，预先加载测试张量，并将批量大小设为16。本文方法在Abilene和GÉANT上的平均每批前向耗时分别为2.65 ms和2.61 ms，固定等权模型分别为2.38 ms和2.10 ms，单尺度DLinear分别为0.77 ms和0.70 ms。上述结果对应预加载张量条件下的模型前向计算，展示了多尺度预测结构的运行开销。</w:t>
      </w:r>
    </w:p>
    <w:p>
      <w:pPr>
        <w:keepNext w:val="0"/>
        <w:keepLines/>
      </w:pPr>
      <w:r>
        <w:t>应用时，可由运维模块定期读取小时级历史OD序列，调用预测模型生成未来一天的需求估计，辅助观察高需求时段与容量变化。预测输出可供网络运维人员识别需求变化，并为容量规划提供数据参考。</w:t>
      </w:r>
    </w:p>
    <w:p>
      <w:pPr>
        <w:keepNext w:val="0"/>
        <w:keepLines/>
      </w:pPr>
      <w:r>
        <w:t>图4显示各模型在高真实值区间仍有低估，本文方法的分组平均偏差相对较小。高需求区间的分组平均偏差较小，有助于在流量趋势分析中观察模型对峰值需求的刻画。</w:t>
      </w:r>
    </w:p>
    <w:p>
      <w:pPr>
        <w:keepNext w:val="0"/>
        <w:keepLines/>
      </w:pPr>
      <w:r>
        <w:t>实际使用还需将预测恢复到原始流量量纲，并结合拓扑、路由和链路容量，才能由OD需求进一步分析链路负载。本文的实验评估以标准化OD流量预测为对象；将预测结果接入网络管理系统时，可结合业务所需的拓扑与容量信息使用。</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构建了处理骨干网络OD流量短时波动与较慢趋势的多尺度预测结构。尺度1、2和4的DLinear专家独立预测，轻量路由网络根据输入计算融合权重，将各专家结果组合为最终输出。预测长度为24时，在Abilene和GÉANT两套实验中，本文方法的平均误差均低于作为比较对象的DLinear、LightTS和固定等权模型。相对全局可学习权重与恒定输入路由两类常权重对照，本文方法在Abilene上的逐种子平均MSE改进均约1.80%；GÉANT上的对应改进分别为4.31%和4.97%。</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6450C208" w14:textId="77777777" w:rsidR="00B14FA3" w:rsidRPr="00B14FA3" w:rsidRDefault="00B14FA3" w:rsidP="00B14FA3">
      <w:r>
        <w:rPr>
          <w:color w:val="000000"/>
          <w:szCs w:val="21"/>
        </w:rPr>
        <w:t>按真实值分组的校准结果表明，各模型在高流量端仍有低估，本文方法的平均偏差相对较小。结合较小的模型参数量和前向计算开销，本文方法可为小时级骨干网需求分析与容量规划提供预测参考。</w:t>
      </w:r>
    </w:p>
    <w:p w14:paraId="6450C208" w14:textId="77777777" w:rsidR="00B14FA3" w:rsidRPr="00B14FA3" w:rsidRDefault="00B14FA3" w:rsidP="00B14FA3">
      <w:r>
        <w:rPr>
          <w:color w:val="000000"/>
          <w:szCs w:val="21"/>
        </w:rPr>
        <w:t>后续可在更多网络数据和预测设置下考察该方法的适用性。</w:t>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