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9A33F" w14:textId="77777777" w:rsidR="00B14FA3" w:rsidRPr="00B14FA3" w:rsidRDefault="00B14FA3" w:rsidP="00B14FA3">
      <w:pPr>
        <w:spacing w:after="60"/>
        <w:ind w:firstLine="0"/>
        <w:jc w:val="center"/>
      </w:pPr>
      <w:bookmarkStart w:id="0" w:name="OLE_LINK1"/>
      <w:r w:rsidRPr="00B14FA3">
        <w:rPr>
          <w:rFonts w:ascii="Arial" w:eastAsia="黑体" w:hAnsi="Arial" w:cs="Arial"/>
          <w:b/>
          <w:color w:val="000000"/>
          <w:sz w:val="36"/>
          <w:szCs w:val="36"/>
        </w:rPr>
        <w:t>基于自适应多尺度加权的多变量网络流量预测方法</w:t>
      </w:r>
    </w:p>
    <w:bookmarkEnd w:id="0"/>
    <w:p w14:paraId="57D86241" w14:textId="77777777" w:rsidR="00B14FA3" w:rsidRPr="00B14FA3" w:rsidRDefault="00B14FA3" w:rsidP="00B14FA3">
      <w:pPr>
        <w:ind w:firstLine="0"/>
        <w:jc w:val="center"/>
      </w:pPr>
      <w:r w:rsidRPr="00B14FA3">
        <w:rPr>
          <w:rFonts w:ascii="楷体" w:eastAsia="楷体" w:hAnsi="楷体" w:cs="楷体"/>
          <w:color w:val="000000"/>
          <w:szCs w:val="21"/>
        </w:rPr>
        <w:t>[请填写作者姓名]</w:t>
      </w:r>
    </w:p>
    <w:p w14:paraId="233E4490" w14:textId="77777777" w:rsidR="00B14FA3" w:rsidRPr="00B14FA3" w:rsidRDefault="00B14FA3" w:rsidP="00B14FA3">
      <w:pPr>
        <w:ind w:firstLine="0"/>
        <w:jc w:val="center"/>
      </w:pPr>
      <w:r w:rsidRPr="00B14FA3">
        <w:rPr>
          <w:rFonts w:eastAsia="楷体"/>
          <w:color w:val="000000"/>
          <w:sz w:val="18"/>
          <w:szCs w:val="18"/>
        </w:rPr>
        <w:t>（</w:t>
      </w:r>
      <w:r w:rsidRPr="00B14FA3">
        <w:rPr>
          <w:rFonts w:eastAsia="楷体"/>
          <w:color w:val="000000"/>
          <w:sz w:val="18"/>
          <w:szCs w:val="18"/>
        </w:rPr>
        <w:t>[</w:t>
      </w:r>
      <w:r w:rsidRPr="00B14FA3">
        <w:rPr>
          <w:rFonts w:eastAsia="楷体"/>
          <w:color w:val="000000"/>
          <w:sz w:val="18"/>
          <w:szCs w:val="18"/>
        </w:rPr>
        <w:t>请填写工作单位</w:t>
      </w:r>
      <w:r w:rsidRPr="00B14FA3">
        <w:rPr>
          <w:rFonts w:eastAsia="楷体"/>
          <w:color w:val="000000"/>
          <w:sz w:val="18"/>
          <w:szCs w:val="18"/>
        </w:rPr>
        <w:t>] [</w:t>
      </w:r>
      <w:r w:rsidRPr="00B14FA3">
        <w:rPr>
          <w:rFonts w:eastAsia="楷体"/>
          <w:color w:val="000000"/>
          <w:sz w:val="18"/>
          <w:szCs w:val="18"/>
        </w:rPr>
        <w:t>请填写部门</w:t>
      </w:r>
      <w:r w:rsidRPr="00B14FA3">
        <w:rPr>
          <w:rFonts w:eastAsia="楷体"/>
          <w:color w:val="000000"/>
          <w:sz w:val="18"/>
          <w:szCs w:val="18"/>
        </w:rPr>
        <w:t>]</w:t>
      </w:r>
      <w:r w:rsidRPr="00B14FA3">
        <w:rPr>
          <w:rFonts w:eastAsia="楷体"/>
          <w:color w:val="000000"/>
          <w:sz w:val="18"/>
          <w:szCs w:val="18"/>
        </w:rPr>
        <w:t>，</w:t>
      </w:r>
      <w:r w:rsidRPr="00B14FA3">
        <w:rPr>
          <w:rFonts w:eastAsia="楷体"/>
          <w:color w:val="000000"/>
          <w:sz w:val="18"/>
          <w:szCs w:val="18"/>
        </w:rPr>
        <w:t>[</w:t>
      </w:r>
      <w:r w:rsidRPr="00B14FA3">
        <w:rPr>
          <w:rFonts w:eastAsia="楷体"/>
          <w:color w:val="000000"/>
          <w:sz w:val="18"/>
          <w:szCs w:val="18"/>
        </w:rPr>
        <w:t>省</w:t>
      </w:r>
      <w:r w:rsidRPr="00B14FA3">
        <w:rPr>
          <w:rFonts w:eastAsia="楷体"/>
          <w:color w:val="000000"/>
          <w:sz w:val="18"/>
          <w:szCs w:val="18"/>
        </w:rPr>
        <w:t xml:space="preserve"> </w:t>
      </w:r>
      <w:r w:rsidRPr="00B14FA3">
        <w:rPr>
          <w:rFonts w:eastAsia="楷体"/>
          <w:color w:val="000000"/>
          <w:sz w:val="18"/>
          <w:szCs w:val="18"/>
        </w:rPr>
        <w:t>市</w:t>
      </w:r>
      <w:r w:rsidRPr="00B14FA3">
        <w:rPr>
          <w:rFonts w:eastAsia="楷体"/>
          <w:color w:val="000000"/>
          <w:sz w:val="18"/>
          <w:szCs w:val="18"/>
        </w:rPr>
        <w:t xml:space="preserve"> </w:t>
      </w:r>
      <w:r w:rsidRPr="00B14FA3">
        <w:rPr>
          <w:rFonts w:eastAsia="楷体"/>
          <w:color w:val="000000"/>
          <w:sz w:val="18"/>
          <w:szCs w:val="18"/>
        </w:rPr>
        <w:t>邮编</w:t>
      </w:r>
      <w:r w:rsidRPr="00B14FA3">
        <w:rPr>
          <w:rFonts w:eastAsia="楷体"/>
          <w:color w:val="000000"/>
          <w:sz w:val="18"/>
          <w:szCs w:val="18"/>
        </w:rPr>
        <w:t>]</w:t>
      </w:r>
      <w:r w:rsidRPr="00B14FA3">
        <w:rPr>
          <w:rFonts w:eastAsia="楷体"/>
          <w:color w:val="000000"/>
          <w:sz w:val="18"/>
          <w:szCs w:val="18"/>
        </w:rPr>
        <w:t>）</w:t>
      </w:r>
    </w:p>
    <w:p w14:paraId="26D8FFD6" w14:textId="77777777" w:rsidR="00B14FA3" w:rsidRPr="00B14FA3" w:rsidRDefault="00B14FA3" w:rsidP="00B14FA3">
      <w:r>
        <w:rPr>
          <w:b/>
          <w:bCs/>
          <w:color w:val="000000"/>
        </w:rPr>
        <w:t>摘要：骨干网络源—目的节点对流量兼有短时起伏和较慢趋势，单一时间分辨率难以同时表征两者。本文采用尺度1、2和4的DLinear专家，由轻量路由网络根据输入窗口统计量生成Softmax融合权重。在输入长度96、预测长度24的Abilene和GÉANT实验中，3个共同随机种子下本文方法相对DLinear的MSE分别降低4.07%和4.54%，相对LightTS分别降低29.80%和46.89%。8个随机种子的核心消融加入全局可学习权重和恒定输入路由两类固定权重对照；本文方法相对两者在Abilene上的逐种子平均MSE改进率均约为1.80%，在GÉANT上分别为4.31%和4.97%。结果表明，多尺度加权在两套骨干网数据上取得了较好的平均预测精度，可为小时级流量需求分析提供预测参考。</w:t>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p>
    <w:p w14:paraId="6DDB7F12" w14:textId="77777777" w:rsidR="00B14FA3" w:rsidRPr="00B14FA3" w:rsidRDefault="00B14FA3" w:rsidP="00B14FA3">
      <w:pPr>
        <w:ind w:firstLine="0"/>
      </w:pPr>
      <w:r>
        <w:rPr>
          <w:rFonts w:eastAsia="黑体"/>
          <w:b/>
        </w:rPr>
        <w:t>关键词：</w:t>
      </w:r>
      <w:r>
        <w:t>网络流量预测；多变量时间序列；多尺度学习；自适应加权；</w:t>
      </w:r>
      <w:r>
        <w:t>DLinear</w:t>
      </w:r>
    </w:p>
    <w:p w14:paraId="18A6B693" w14:textId="77777777" w:rsidR="00B14FA3" w:rsidRPr="00B14FA3" w:rsidRDefault="00B14FA3" w:rsidP="00B14FA3">
      <w:pPr>
        <w:ind w:firstLine="0"/>
      </w:pPr>
      <w:r w:rsidRPr="00B14FA3">
        <w:rPr>
          <w:rFonts w:eastAsia="黑体"/>
          <w:b/>
        </w:rPr>
        <w:t>中图分类号：</w:t>
      </w:r>
      <w:r w:rsidRPr="00B14FA3">
        <w:t>TP393</w:t>
      </w:r>
      <w:r w:rsidRPr="00B14FA3">
        <w:t xml:space="preserve">　　</w:t>
      </w:r>
      <w:r w:rsidRPr="00B14FA3">
        <w:rPr>
          <w:rFonts w:eastAsia="黑体"/>
          <w:b/>
        </w:rPr>
        <w:t>文献标志码：</w:t>
      </w:r>
      <w:r w:rsidRPr="00B14FA3">
        <w:t>A</w:t>
      </w:r>
    </w:p>
    <w:p w14:paraId="4EB6E192" w14:textId="77777777" w:rsidR="00B14FA3" w:rsidRPr="00B14FA3" w:rsidRDefault="00B14FA3" w:rsidP="00B14FA3">
      <w:pPr>
        <w:spacing w:after="60"/>
        <w:ind w:firstLine="0"/>
        <w:jc w:val="center"/>
      </w:pPr>
      <w:r w:rsidRPr="00B14FA3">
        <w:rPr>
          <w:rFonts w:eastAsia="黑体"/>
          <w:b/>
          <w:sz w:val="28"/>
        </w:rPr>
        <w:t>A Multivariate Network Traffic Forecasting Method Based on Adaptive Multiscale Weighting</w:t>
      </w:r>
    </w:p>
    <w:p w14:paraId="58F87268" w14:textId="77777777" w:rsidR="00B14FA3" w:rsidRPr="00B14FA3" w:rsidRDefault="00B14FA3" w:rsidP="00B14FA3">
      <w:pPr>
        <w:ind w:firstLine="0"/>
        <w:jc w:val="center"/>
      </w:pPr>
      <w:r w:rsidRPr="00B14FA3">
        <w:t>[Author Name]</w:t>
      </w:r>
    </w:p>
    <w:p w14:paraId="4E49EDDA" w14:textId="77777777" w:rsidR="00B14FA3" w:rsidRPr="00B14FA3" w:rsidRDefault="00B14FA3" w:rsidP="00B14FA3">
      <w:pPr>
        <w:jc w:val="center"/>
      </w:pPr>
      <w:r w:rsidRPr="00B14FA3">
        <w:t>([Affiliation] [Department], [City] [Postcode], China; Corresponding author: [Name], E-mail: [E-mail])</w:t>
      </w:r>
    </w:p>
    <w:p w14:paraId="05369785" w14:textId="77777777" w:rsidR="00B14FA3" w:rsidRPr="00B14FA3" w:rsidRDefault="00B14FA3" w:rsidP="00B14FA3">
      <w:r>
        <w:rPr>
          <w:rFonts w:eastAsia="Times New Roman"/>
          <w:b/>
          <w:bCs/>
          <w:color w:val="000000"/>
        </w:rPr>
        <w:t>Abstract: Short-term fluctuations and slower trends coexist in backbone origin-destination traffic. Input-window statistics determine the Softmax weights used to combine DLinear experts at scales 1, 2, and 4. For input length 96 and forecast length 24, results from three common random seeds give MSE reductions of 4.07% on Abilene and 4.54% on GÉANT relative to DLinear. The corresponding reductions relative to LightTS are 29.80% and 46.89%. An eight-seed ablation adds two fixed-weight controls: learned global weights and a router receiving constant input. Mean seed-wise MSE reductions over the two controls are both about 1.80% on Abilene; on GÉANT, they are 4.31% and 4.97%, respectively. The multiscale weighting model achieves lower mean prediction errors on both backbone datasets and offers a forecasting basis for hourly traffic-demand analysis.</w:t>
      </w:r>
      <w:r>
        <w:rPr>
          <w:rFonts w:eastAsia="Times New Roman"/>
          <w:color w:val="000000"/>
        </w:rPr>
      </w:r>
    </w:p>
    <w:p w14:paraId="1A5F7C32" w14:textId="77777777" w:rsidR="00B14FA3" w:rsidRPr="00B14FA3" w:rsidRDefault="00B14FA3" w:rsidP="00B14FA3">
      <w:pPr>
        <w:ind w:firstLine="0"/>
      </w:pPr>
      <w:r>
        <w:rPr>
          <w:rFonts w:eastAsia="Times New Roman"/>
          <w:b/>
          <w:bCs/>
          <w:color w:val="000000"/>
        </w:rPr>
        <w:t xml:space="preserve">Key words: </w:t>
      </w:r>
      <w:r>
        <w:rPr>
          <w:rFonts w:eastAsia="Times New Roman"/>
          <w:color w:val="000000"/>
        </w:rPr>
        <w:t>network traffic forecasting; multivariate time series; multiscale learning; adaptive weighting; DLinear</w:t>
      </w:r>
    </w:p>
    <w:p w14:paraId="5C2C4A73" w14:textId="77777777" w:rsidR="00B14FA3" w:rsidRPr="00B14FA3" w:rsidRDefault="00B14FA3" w:rsidP="00B14FA3">
      <w:pPr>
        <w:rPr>
          <w:color w:val="000000"/>
        </w:rPr>
      </w:pPr>
    </w:p>
    <w:p w14:paraId="2A311823" w14:textId="77777777" w:rsidR="00B14FA3" w:rsidRPr="00B14FA3" w:rsidRDefault="00B14FA3" w:rsidP="00B14FA3">
      <w:pPr>
        <w:rPr>
          <w:color w:val="000000"/>
        </w:rPr>
      </w:pPr>
      <w:r>
        <w:rPr>
          <w:color w:val="000000"/>
          <w:szCs w:val="21"/>
        </w:rPr>
        <w:t>源—目的节点对（origin-destination，OD）流量描述骨干网络不同节点对之间的通信需求。容量规划、拥塞预警、资源调度和流量工程需要判断未来流量状态，本文因而预测后续OD流量。面向小时级骨干网需求分析，预测结果可为流量趋势观察和容量规划提供参考。在云计算、视频业务、数据中心互联及智能网络应用持续增加的背景下，业务在网络内部的迁移和聚集更频繁。这使后续流量的时间变化更加复杂，也增加了预测难度。周期变化、局部波动与突发变化常叠加在同一OD流量序列中，不同变量又有各自的数值范围。这类OD数据包含的复杂短时变化，难以仅用较平稳单变量序列的趋势描述完整覆盖。模型在预测较长时间趋势时，仍需响应短时状态变化。</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3877C1F2" w14:textId="77777777" w:rsidR="00B14FA3" w:rsidRPr="00B14FA3" w:rsidRDefault="00B14FA3" w:rsidP="00B14FA3">
      <w:pPr>
        <w:rPr>
          <w:color w:val="000000"/>
        </w:rPr>
      </w:pPr>
      <w:r>
        <w:rPr>
          <w:color w:val="000000"/>
          <w:szCs w:val="21"/>
        </w:rPr>
        <w:t>Lohrasbinasab等[1]系统梳理了网络流量预测方法，指出机器学习和深度学习等数据驱动方法在复杂流量预测中的应用不断增加，反映了传统统计模型之外的研究扩展。网络规模扩大也使OD变量之间的关联更难由单一序列的时间分析覆盖。Qin等[2]把图神经网络引入通信网络流量预测，在同一模型中处理空间关联和时间依赖；韦烜等[3]针对大型IP网络流量矩阵开展分析与预测，讨论了不同OD变量之间的关联及其时间变化。唐文杰等[4]则在CycleLLH模型中引入周期性信息。上述研究涉及的时间依赖、变量关联与周期结构，构成了流量预测的不同观察角度。</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3877C1F2" w14:textId="77777777" w:rsidR="00B14FA3" w:rsidRPr="00B14FA3" w:rsidRDefault="00B14FA3" w:rsidP="00B14FA3">
      <w:pPr>
        <w:rPr>
          <w:color w:val="000000"/>
        </w:rPr>
      </w:pPr>
      <w:r>
        <w:rPr>
          <w:color w:val="000000"/>
          <w:szCs w:val="21"/>
        </w:rPr>
        <w:t>时间分辨率决定同一流量序列中哪些特征更易观察：较多局部细节在原始分辨率下保留，短时起伏也更清晰；时间聚合平滑部分局部扰动后，较慢的变化趋势更突出。在Zhou等[5]的多尺度网络流量预测研究中，深度回声状态网络从不同时间分辨率的序列中提取信息，以利用各分辨率之间的互补性。利用多尺度信息还涉及模型结构开销。DLinear[6]通过时间序列分解和线性映射完成预测，TimeMixer[7]以多尺度混合机制处理不同分辨率序列。LightTS[8]则采用采样导向的MLP结构，实现快速多变量时间序列预测。本文将多时间尺度信息与模型规模共同作为预测结构的设计约束。</w:t>
      </w:r>
    </w:p>
    <w:p w14:paraId="65582279" w14:textId="77777777" w:rsidR="00B14FA3" w:rsidRPr="00B14FA3" w:rsidRDefault="00B14FA3" w:rsidP="00B14FA3">
      <w:pPr>
        <w:rPr>
          <w:color w:val="000000"/>
        </w:rPr>
      </w:pPr>
      <w:r>
        <w:rPr>
          <w:color w:val="000000"/>
          <w:szCs w:val="21"/>
        </w:rPr>
        <w:t>常见流程先给定时间尺度，再分别计算结果并按既定方式融合。各输入窗口中的短时波动和平缓趋势占比不同，尺度1、2和4的预测作用也可能随窗口状态变化。仅采用单一尺度会缺少其他时间分辨率的信息。构造多尺度序列后，固定融合比例仍不使用窗口状态差异；本文则根据当前输入窗口计算融合权重，将状态信息用于各尺度结果的组合。</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012F79B1" w14:textId="77777777" w:rsidR="00B14FA3" w:rsidRPr="00B14FA3" w:rsidRDefault="00B14FA3" w:rsidP="00B14FA3"/>
    <w:p>
      <w:pPr/>
      <w:r>
        <w:t>针对输入窗口之间的状态差异，本文采用样本级自适应多尺度结构。历史窗口按尺度1、2和4构造多分辨率序列，每个尺度由一个DLinear专家给出候选预测。路由网络不重新编码完整时序，而是读取当前输入窗口的总体水平、离散程度、最近状态和变化强度等统计量，生成Softmax尺度权重，并据此融合三个专家的结果。这样可以把尺度内预测与尺度间选择分开处理。实验在Abilene和GÉANT两个公开骨干网数据集上进行，比较DLinear、LightTS、固定等权、全局可学习固定权重与恒定输入路由模型，并通过多个随机种子重复实验和路由权重分析检验预测误差、核心结构消融与尺度分配行为。</w:t>
      </w:r>
    </w:p>
    <w:p w14:paraId="155C26D6" w14:textId="77777777" w:rsidR="00B14FA3" w:rsidRPr="00B14FA3" w:rsidRDefault="00B14FA3" w:rsidP="00B14FA3">
      <w:pPr>
        <w:keepNext/>
        <w:widowControl/>
        <w:spacing w:before="120" w:after="40"/>
        <w:ind w:firstLine="0"/>
        <w:jc w:val="left"/>
        <w:rPr>
          <w:rFonts w:eastAsia="黑体"/>
          <w:b/>
          <w:kern w:val="0"/>
          <w:sz w:val="28"/>
          <w:szCs w:val="20"/>
        </w:rPr>
      </w:pPr>
      <w:r w:rsidRPr="00B14FA3">
        <w:rPr>
          <w:rFonts w:ascii="Arial" w:eastAsia="黑体" w:hAnsi="Arial"/>
          <w:b/>
          <w:color w:val="000000"/>
          <w:kern w:val="0"/>
          <w:sz w:val="24"/>
          <w:szCs w:val="20"/>
        </w:rPr>
        <w:t xml:space="preserve">1 </w:t>
      </w:r>
      <w:r w:rsidRPr="00B14FA3">
        <w:rPr>
          <w:rFonts w:ascii="Arial" w:eastAsia="黑体" w:hAnsi="Arial"/>
          <w:b/>
          <w:color w:val="000000"/>
          <w:kern w:val="0"/>
          <w:sz w:val="24"/>
          <w:szCs w:val="20"/>
        </w:rPr>
        <w:t>自适应多尺度网络流量预测方法</w:t>
      </w:r>
    </w:p>
    <w:p w14:paraId="0B4AA7AE" w14:textId="77777777" w:rsidR="00B14FA3" w:rsidRPr="00B14FA3" w:rsidRDefault="00B14FA3" w:rsidP="00B14FA3">
      <w:r>
        <w:rPr>
          <w:color w:val="000000"/>
          <w:szCs w:val="21"/>
        </w:rPr>
        <w:t>图1给出模型的整体流程。历史OD窗口经对数变换和标准化后，构造尺度1、2和4的输入序列，分别交给独立DLinear专家。各专家将趋势项和余项分别映射到24步预测，再将两部分结果相加。窗口路由网络根据原始分辨率输入的4项统计特征生成Softmax权重，对3个尺度的候选预测加权求和。图中省略样本下标n，曲边连接表示DLinear专家内部的展开；实线表示预测计算流程，虚线表示窗口特征和融合权重的传递。图中的矩阵、曲线和色块用于说明计算过程。固定等权、全局可学习权重与恒定输入路由对照采用相同的尺度与专家结构，并分别训练，用以比较等权、全局非等权与输入相关融合。</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pPr/>
      <w:r>
        <w:t>三个时间尺度的区别在于历史信息的平滑程度。原始尺度较完整地保留局部变化，较粗尺度则通过时间聚合减弱短时扰动，突出较慢的趋势。3个尺度各自预测，保留独立结果后，由路由网络确定每个样本的融合比例。结构较简洁的DLinear用于全部专家，控制模型规模，并为多尺度输入和样本级融合提供相同的比较主干。</w:t>
      </w:r>
    </w:p>
    <w:p w14:paraId="6C67E13A" w14:textId="77777777" w:rsidR="00B14FA3" w:rsidRPr="00B14FA3" w:rsidRDefault="00B14FA3" w:rsidP="00B14FA3">
      <w:pPr>
        <w:keepNext/>
        <w:keepLines/>
        <w:spacing w:before="80" w:after="20" w:line="415" w:lineRule="auto"/>
        <w:ind w:firstLine="0"/>
        <w:jc w:val="left"/>
        <w:outlineLvl w:val="1"/>
        <w:rPr>
          <w:rFonts w:eastAsia="黑体"/>
          <w:b/>
          <w:bCs/>
          <w:szCs w:val="32"/>
        </w:rPr>
      </w:pPr>
      <w:r w:rsidRPr="00B14FA3">
        <w:rPr>
          <w:rFonts w:ascii="Arial" w:eastAsia="黑体" w:hAnsi="Arial"/>
          <w:b/>
          <w:bCs/>
          <w:color w:val="000000"/>
          <w:szCs w:val="21"/>
        </w:rPr>
        <w:t>1.1 预测任务与数据预处理</w:t>
      </w:r>
      <w:r w:rsidRPr="00B14FA3">
        <w:rPr>
          <w:rFonts w:eastAsia="黑体"/>
          <w:b/>
          <w:bCs/>
          <w:szCs w:val="21"/>
        </w:rPr>
      </w:r>
    </w:p>
    <w:p w14:paraId="68385A57" w14:textId="77777777" w:rsidR="00B14FA3" w:rsidRPr="00B14FA3" w:rsidRDefault="00B14FA3" w:rsidP="00B14FA3">
      <w:pPr>
        <w:spacing w:line="360" w:lineRule="auto"/>
      </w:pPr>
      <w:r>
        <w:t xml:space="preserve">记预处理后的多变量流量序列为 </w:t>
      </w:r>
      <m:oMath>
        <m:sSub>
          <m:e>
            <m:r>
              <m:rPr>
                <m:sty m:val="b"/>
              </m:rPr>
              <m:t>x</m:t>
            </m:r>
          </m:e>
          <m:sub>
            <m:r>
              <m:t>t</m:t>
            </m:r>
          </m:sub>
        </m:sSub>
        <m:r>
          <m:rPr>
            <m:sty m:val="p"/>
          </m:rPr>
          <m:t>∈</m:t>
        </m:r>
        <m:sSup>
          <m:e>
            <m:r>
              <m:rPr>
                <m:scr m:val="double-struck"/>
                <m:sty m:val="p"/>
              </m:rPr>
              <m:t>R</m:t>
            </m:r>
          </m:e>
          <m:sup>
            <m:r>
              <m:t>C</m:t>
            </m:r>
          </m:sup>
        </m:sSup>
      </m:oMath>
      <w:r>
        <w:t>，t表示时间索引，C表示有效OD变量数。沿时间轴对连续序列生成滑动窗口，作为监督学习样本；第n个样本由历史窗口</w:t>
      </w:r>
      <m:oMath>
        <m:sSub>
          <m:e>
            <m:r>
              <m:rPr>
                <m:sty m:val="b"/>
              </m:rPr>
              <m:t>X</m:t>
            </m:r>
          </m:e>
          <m:sub>
            <m:r>
              <m:t>n</m:t>
            </m:r>
          </m:sub>
        </m:sSub>
      </m:oMath>
      <w:r>
        <w:t>及预测目标</w:t>
      </w:r>
      <m:oMath>
        <m:sSub>
          <m:e>
            <m:r>
              <m:rPr>
                <m:sty m:val="b"/>
              </m:rPr>
              <m:t>Y</m:t>
            </m:r>
          </m:e>
          <m:sub>
            <m:r>
              <m:t>n</m:t>
            </m:r>
          </m:sub>
        </m:sSub>
      </m:oMath>
      <w:r>
        <w:t>组成：</w:t>
      </w:r>
      <m:oMath>
        <m:sSub>
          <m:e>
            <m:r>
              <m:rPr>
                <m:sty m:val="b"/>
              </m:rPr>
              <m:t>X</m:t>
            </m:r>
          </m:e>
          <m:sub>
            <m:r>
              <m:t>n</m:t>
            </m:r>
          </m:sub>
        </m:sSub>
      </m:oMath>
      <w:r>
        <w:t>覆盖连续L个时间点，</w:t>
      </w:r>
      <m:oMath>
        <m:sSub>
          <m:e>
            <m:r>
              <m:rPr>
                <m:sty m:val="b"/>
              </m:rPr>
              <m:t>Y</m:t>
            </m:r>
          </m:e>
          <m:sub>
            <m:r>
              <m:t>n</m:t>
            </m:r>
          </m:sub>
        </m:sSub>
      </m:oMath>
      <w:r>
        <w:t>覆盖其后连续的H个时间点。模型读取多个OD变量过去L步的联合变化作为历史信息，估计未来H步的取值。第n个样本的输入与目标写为</w:t>
      </w:r>
    </w:p>
    <w:p w14:paraId="54EEA794"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lastRenderedPageBreak/>
        <w:tab/>
      </w:r>
      <m:oMath>
        <m:sSub>
          <m:e>
            <m:r>
              <m:rPr>
                <m:sty m:val="b"/>
              </m:rPr>
              <m:t>X</m:t>
            </m:r>
          </m:e>
          <m:sub>
            <m:r>
              <m:t>n</m:t>
            </m:r>
          </m:sub>
        </m:sSub>
        <m:r>
          <m:rPr>
            <m:sty m:val="p"/>
          </m:rPr>
          <m:t>=</m:t>
        </m:r>
        <m:r>
          <m:rPr>
            <m:sty m:val="p"/>
          </m:rPr>
          <m:t>[</m:t>
        </m:r>
        <m:sSub>
          <m:e>
            <m:r>
              <m:rPr>
                <m:sty m:val="b"/>
              </m:rPr>
              <m:t>x</m:t>
            </m:r>
          </m:e>
          <m:sub>
            <m:r>
              <m:t>n</m:t>
            </m:r>
          </m:sub>
        </m:sSub>
        <m:r>
          <m:rPr>
            <m:sty m:val="p"/>
          </m:rPr>
          <m:t>,</m:t>
        </m:r>
        <m:r>
          <m:rPr>
            <m:sty m:val="p"/>
          </m:rPr>
          <m:t>…</m:t>
        </m:r>
        <m:r>
          <m:rPr>
            <m:sty m:val="p"/>
          </m:rPr>
          <m:t>,</m:t>
        </m:r>
        <m:sSub>
          <m:e>
            <m:r>
              <m:rPr>
                <m:sty m:val="b"/>
              </m:rPr>
              <m:t>x</m:t>
            </m:r>
          </m:e>
          <m:sub>
            <m:r>
              <m:t>n</m:t>
            </m:r>
            <m:r>
              <m:rPr>
                <m:sty m:val="p"/>
              </m:rPr>
              <m:t>+</m:t>
            </m:r>
            <m:r>
              <m:t>L</m:t>
            </m:r>
            <m:r>
              <m:rPr>
                <m:sty m:val="p"/>
              </m:rPr>
              <m:t>−</m:t>
            </m:r>
            <m:r>
              <m:t>1</m:t>
            </m:r>
          </m:sub>
        </m:sSub>
        <m:r>
          <m:rPr>
            <m:sty m:val="p"/>
          </m:rPr>
          <m:t>]</m:t>
        </m:r>
        <m:r>
          <m:rPr>
            <m:sty m:val="p"/>
          </m:rPr>
          <m:t>∈</m:t>
        </m:r>
        <m:sSup>
          <m:e>
            <m:r>
              <m:rPr>
                <m:scr m:val="double-struck"/>
                <m:sty m:val="p"/>
              </m:rPr>
              <m:t>R</m:t>
            </m:r>
          </m:e>
          <m:sup>
            <m:r>
              <m:t>L</m:t>
            </m:r>
            <m:r>
              <m:rPr>
                <m:sty m:val="p"/>
              </m:rPr>
              <m:t>×</m:t>
            </m:r>
            <m:r>
              <m:t>C</m:t>
            </m:r>
          </m:sup>
        </m:sSup>
        <m:r>
          <m:rPr>
            <m:sty m:val="p"/>
          </m:rPr>
          <m:t>.</m:t>
        </m:r>
      </m:oMath>
      <w:r w:rsidRPr="00B14FA3">
        <w:rPr>
          <w:rFonts w:ascii="Cambria Math" w:eastAsia="Cambria Math" w:hAnsi="Cambria Math"/>
          <w:kern w:val="0"/>
          <w:szCs w:val="20"/>
        </w:rPr>
        <w:tab/>
      </w:r>
      <w:r w:rsidRPr="00B14FA3">
        <w:rPr>
          <w:kern w:val="0"/>
          <w:szCs w:val="20"/>
        </w:rPr>
        <w:t>(1)</w:t>
      </w:r>
    </w:p>
    <w:p w14:paraId="629FA8CA"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e>
            <m:r>
              <m:rPr>
                <m:sty m:val="b"/>
              </m:rPr>
              <m:t>Y</m:t>
            </m:r>
          </m:e>
          <m:sub>
            <m:r>
              <m:t>n</m:t>
            </m:r>
          </m:sub>
        </m:sSub>
        <m:r>
          <m:rPr>
            <m:sty m:val="p"/>
          </m:rPr>
          <m:t>=</m:t>
        </m:r>
        <m:r>
          <m:rPr>
            <m:sty m:val="p"/>
          </m:rPr>
          <m:t>[</m:t>
        </m:r>
        <m:sSub>
          <m:e>
            <m:r>
              <m:rPr>
                <m:sty m:val="b"/>
              </m:rPr>
              <m:t>x</m:t>
            </m:r>
          </m:e>
          <m:sub>
            <m:r>
              <m:t>n</m:t>
            </m:r>
            <m:r>
              <m:rPr>
                <m:sty m:val="p"/>
              </m:rPr>
              <m:t>+</m:t>
            </m:r>
            <m:r>
              <m:t>L</m:t>
            </m:r>
          </m:sub>
        </m:sSub>
        <m:r>
          <m:rPr>
            <m:sty m:val="p"/>
          </m:rPr>
          <m:t>,</m:t>
        </m:r>
        <m:r>
          <m:rPr>
            <m:sty m:val="p"/>
          </m:rPr>
          <m:t>…</m:t>
        </m:r>
        <m:r>
          <m:rPr>
            <m:sty m:val="p"/>
          </m:rPr>
          <m:t>,</m:t>
        </m:r>
        <m:sSub>
          <m:e>
            <m:r>
              <m:rPr>
                <m:sty m:val="b"/>
              </m:rPr>
              <m:t>x</m:t>
            </m:r>
          </m:e>
          <m:sub>
            <m:r>
              <m:t>n</m:t>
            </m:r>
            <m:r>
              <m:rPr>
                <m:sty m:val="p"/>
              </m:rPr>
              <m:t>+</m:t>
            </m:r>
            <m:r>
              <m:t>L</m:t>
            </m:r>
            <m:r>
              <m:rPr>
                <m:sty m:val="p"/>
              </m:rPr>
              <m:t>+</m:t>
            </m:r>
            <m:r>
              <m:t>H</m:t>
            </m:r>
            <m:r>
              <m:rPr>
                <m:sty m:val="p"/>
              </m:rPr>
              <m:t>−</m:t>
            </m:r>
            <m:r>
              <m:t>1</m:t>
            </m:r>
          </m:sub>
        </m:sSub>
        <m:r>
          <m:rPr>
            <m:sty m:val="p"/>
          </m:rPr>
          <m:t>]</m:t>
        </m:r>
        <m:r>
          <m:rPr>
            <m:sty m:val="p"/>
          </m:rPr>
          <m:t>∈</m:t>
        </m:r>
        <m:sSup>
          <m:e>
            <m:r>
              <m:rPr>
                <m:scr m:val="double-struck"/>
                <m:sty m:val="p"/>
              </m:rPr>
              <m:t>R</m:t>
            </m:r>
          </m:e>
          <m:sup>
            <m:r>
              <m:t>H</m:t>
            </m:r>
            <m:r>
              <m:rPr>
                <m:sty m:val="p"/>
              </m:rPr>
              <m:t>×</m:t>
            </m:r>
            <m:r>
              <m:t>C</m:t>
            </m:r>
          </m:sup>
        </m:sSup>
        <m:r>
          <m:rPr>
            <m:sty m:val="p"/>
          </m:rPr>
          <m:t>.</m:t>
        </m:r>
      </m:oMath>
      <w:r w:rsidRPr="00B14FA3">
        <w:rPr>
          <w:rFonts w:ascii="Cambria Math" w:eastAsia="Cambria Math" w:hAnsi="Cambria Math"/>
          <w:kern w:val="0"/>
          <w:szCs w:val="20"/>
        </w:rPr>
        <w:tab/>
      </w:r>
      <w:r w:rsidRPr="00B14FA3">
        <w:rPr>
          <w:kern w:val="0"/>
          <w:szCs w:val="20"/>
        </w:rPr>
        <w:t>(2)</w:t>
      </w:r>
    </w:p>
    <w:p w14:paraId="221B26ED" w14:textId="77777777" w:rsidR="00B14FA3" w:rsidRPr="00B14FA3" w:rsidRDefault="00B14FA3" w:rsidP="00B14FA3">
      <w:pPr>
        <w:spacing w:line="360" w:lineRule="auto"/>
      </w:pPr>
      <w:r>
        <w:t>本文取L=96步作为历史输入、H=24步作为未来预测，C为各数据集保留的有效OD维度数。需要学习的预测映射记为</w:t>
      </w:r>
      <m:oMath>
        <m:sSub>
          <m:e>
            <m:acc>
              <m:accPr>
                <m:chr m:val="̂"/>
              </m:accPr>
              <m:e>
                <m:r>
                  <m:rPr>
                    <m:sty m:val="b"/>
                  </m:rPr>
                  <m:t>Y</m:t>
                </m:r>
              </m:e>
            </m:acc>
          </m:e>
          <m:sub>
            <m:r>
              <m:t>n</m:t>
            </m:r>
          </m:sub>
        </m:sSub>
        <m:r>
          <m:rPr>
            <m:sty m:val="p"/>
          </m:rPr>
          <m:t>=</m:t>
        </m:r>
        <m:sSub>
          <m:e>
            <m:r>
              <m:t>f</m:t>
            </m:r>
          </m:e>
          <m:sub>
            <m:r>
              <m:t>θ</m:t>
            </m:r>
          </m:sub>
        </m:sSub>
        <m:r>
          <m:rPr>
            <m:sty m:val="p"/>
          </m:rPr>
          <m:t>(</m:t>
        </m:r>
        <m:sSub>
          <m:e>
            <m:r>
              <m:rPr>
                <m:sty m:val="b"/>
              </m:rPr>
              <m:t>X</m:t>
            </m:r>
          </m:e>
          <m:sub>
            <m:r>
              <m:t>n</m:t>
            </m:r>
          </m:sub>
        </m:sSub>
        <m:r>
          <m:rPr>
            <m:sty m:val="p"/>
          </m:rPr>
          <m:t>)</m:t>
        </m:r>
      </m:oMath>
      <w:r>
        <w:t>。一次预测的历史读取范围为L，连续输出长度为H。原始OD流量均非负，各变量量级相差较大；直接使用原始数值训练时，数值范围较大的变量与其他变量尺度不一致。为压缩数值范围，本文对原始流量</w:t>
      </w:r>
      <m:oMath>
        <m:sSub>
          <m:e>
            <m:r>
              <m:t>v</m:t>
            </m:r>
          </m:e>
          <m:sub>
            <m:r>
              <m:t>t</m:t>
            </m:r>
            <m:r>
              <m:rPr>
                <m:sty m:val="p"/>
              </m:rPr>
              <m:t>,</m:t>
            </m:r>
            <m:r>
              <m:t>c</m:t>
            </m:r>
          </m:sub>
        </m:sSub>
      </m:oMath>
      <w:r>
        <w:t>作对数变换</w:t>
      </w:r>
    </w:p>
    <w:p w14:paraId="06B107E6"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e>
            <m:r>
              <m:t>u</m:t>
            </m:r>
          </m:e>
          <m:sub>
            <m:r>
              <m:t>t</m:t>
            </m:r>
            <m:r>
              <m:rPr>
                <m:sty m:val="p"/>
              </m:rPr>
              <m:t>,</m:t>
            </m:r>
            <m:r>
              <m:t>c</m:t>
            </m:r>
          </m:sub>
        </m:sSub>
        <m:r>
          <m:rPr>
            <m:sty m:val="p"/>
          </m:rPr>
          <m:t>=</m:t>
        </m:r>
        <m:r>
          <m:rPr>
            <m:sty m:val="p"/>
          </m:rPr>
          <m:t>log</m:t>
        </m:r>
        <m:r>
          <m:rPr>
            <m:sty m:val="p"/>
          </m:rPr>
          <m:t>(</m:t>
        </m:r>
        <m:r>
          <m:t>1</m:t>
        </m:r>
        <m:r>
          <m:rPr>
            <m:sty m:val="p"/>
          </m:rPr>
          <m:t>+</m:t>
        </m:r>
        <m:sSub>
          <m:e>
            <m:r>
              <m:t>v</m:t>
            </m:r>
          </m:e>
          <m:sub>
            <m:r>
              <m:t>t</m:t>
            </m:r>
            <m:r>
              <m:rPr>
                <m:sty m:val="p"/>
              </m:rPr>
              <m:t>,</m:t>
            </m:r>
            <m:r>
              <m:t>c</m:t>
            </m:r>
          </m:sub>
        </m:sSub>
        <m:r>
          <m:rPr>
            <m:sty m:val="p"/>
          </m:rPr>
          <m:t>)</m:t>
        </m:r>
        <m:r>
          <m:rPr>
            <m:sty m:val="p"/>
          </m:rPr>
          <m:t>.</m:t>
        </m:r>
      </m:oMath>
      <w:r w:rsidRPr="00B14FA3">
        <w:rPr>
          <w:rFonts w:ascii="Cambria Math" w:eastAsia="Cambria Math" w:hAnsi="Cambria Math"/>
          <w:kern w:val="0"/>
          <w:szCs w:val="20"/>
        </w:rPr>
        <w:tab/>
      </w:r>
      <w:r w:rsidRPr="00B14FA3">
        <w:rPr>
          <w:kern w:val="0"/>
          <w:szCs w:val="20"/>
        </w:rPr>
        <w:t>(3)</w:t>
      </w:r>
    </w:p>
    <w:p w14:paraId="5088C610" w14:textId="77777777" w:rsidR="00B14FA3" w:rsidRPr="00B14FA3" w:rsidRDefault="00B14FA3" w:rsidP="00B14FA3">
      <w:pPr>
        <w:spacing w:line="360" w:lineRule="auto"/>
      </w:pPr>
      <w:r w:rsidRPr="00B14FA3">
        <w:rPr>
          <w:szCs w:val="21"/>
        </w:rPr>
        <w:t>再按变量进行标准化：</w:t>
      </w:r>
    </w:p>
    <w:p w14:paraId="2A2346E7"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e>
            <m:r>
              <m:t>x</m:t>
            </m:r>
          </m:e>
          <m:sub>
            <m:r>
              <m:t>t</m:t>
            </m:r>
            <m:r>
              <m:rPr>
                <m:sty m:val="p"/>
              </m:rPr>
              <m:t>,</m:t>
            </m:r>
            <m:r>
              <m:t>c</m:t>
            </m:r>
          </m:sub>
        </m:sSub>
        <m:r>
          <m:rPr>
            <m:sty m:val="p"/>
          </m:rPr>
          <m:t>=</m:t>
        </m:r>
        <m:f>
          <m:fPr>
            <m:type m:val="bar"/>
          </m:fPr>
          <m:num>
            <m:sSub>
              <m:e>
                <m:r>
                  <m:t>u</m:t>
                </m:r>
              </m:e>
              <m:sub>
                <m:r>
                  <m:t>t</m:t>
                </m:r>
                <m:r>
                  <m:rPr>
                    <m:sty m:val="p"/>
                  </m:rPr>
                  <m:t>,</m:t>
                </m:r>
                <m:r>
                  <m:t>c</m:t>
                </m:r>
              </m:sub>
            </m:sSub>
            <m:r>
              <m:rPr>
                <m:sty m:val="p"/>
              </m:rPr>
              <m:t>−</m:t>
            </m:r>
            <m:sSubSup>
              <m:e>
                <m:r>
                  <m:t>μ</m:t>
                </m:r>
              </m:e>
              <m:sub>
                <m:r>
                  <m:t>c</m:t>
                </m:r>
              </m:sub>
              <m:sup>
                <m:r>
                  <m:rPr>
                    <m:sty m:val="p"/>
                  </m:rPr>
                  <m:t>t</m:t>
                </m:r>
                <m:r>
                  <m:rPr>
                    <m:sty m:val="p"/>
                  </m:rPr>
                  <m:t>r</m:t>
                </m:r>
              </m:sup>
            </m:sSubSup>
          </m:num>
          <m:den>
            <m:sSubSup>
              <m:e>
                <m:r>
                  <m:t>σ</m:t>
                </m:r>
              </m:e>
              <m:sub>
                <m:r>
                  <m:t>c</m:t>
                </m:r>
              </m:sub>
              <m:sup>
                <m:r>
                  <m:rPr>
                    <m:sty m:val="p"/>
                  </m:rPr>
                  <m:t>t</m:t>
                </m:r>
                <m:r>
                  <m:rPr>
                    <m:sty m:val="p"/>
                  </m:rPr>
                  <m:t>r</m:t>
                </m:r>
              </m:sup>
            </m:sSubSup>
          </m:den>
        </m:f>
        <m:r>
          <m:rPr>
            <m:sty m:val="p"/>
          </m:rPr>
          <m:t>.</m:t>
        </m:r>
      </m:oMath>
      <w:r w:rsidRPr="00B14FA3">
        <w:rPr>
          <w:rFonts w:ascii="Cambria Math" w:eastAsia="Cambria Math" w:hAnsi="Cambria Math"/>
          <w:kern w:val="0"/>
          <w:szCs w:val="20"/>
        </w:rPr>
        <w:tab/>
      </w:r>
      <w:r w:rsidRPr="00B14FA3">
        <w:rPr>
          <w:kern w:val="0"/>
          <w:szCs w:val="20"/>
        </w:rPr>
        <w:t>(4)</w:t>
      </w:r>
    </w:p>
    <w:p w14:paraId="2663E5C2" w14:textId="77777777" w:rsidR="00B14FA3" w:rsidRPr="00B14FA3" w:rsidRDefault="00B14FA3" w:rsidP="00B14FA3">
      <w:pPr>
        <w:spacing w:line="360" w:lineRule="auto"/>
      </w:pPr>
      <w:r>
        <w:t>其中</w:t>
      </w:r>
      <m:oMath>
        <m:sSubSup>
          <m:e>
            <m:r>
              <m:t>μ</m:t>
            </m:r>
          </m:e>
          <m:sub>
            <m:r>
              <m:t>c</m:t>
            </m:r>
          </m:sub>
          <m:sup>
            <m:r>
              <m:rPr>
                <m:sty m:val="p"/>
              </m:rPr>
              <m:t>t</m:t>
            </m:r>
            <m:r>
              <m:rPr>
                <m:sty m:val="p"/>
              </m:rPr>
              <m:t>r</m:t>
            </m:r>
          </m:sup>
        </m:sSubSup>
      </m:oMath>
      <w:r>
        <w:t>和</w:t>
      </w:r>
      <m:oMath>
        <m:sSubSup>
          <m:e>
            <m:r>
              <m:t>σ</m:t>
            </m:r>
          </m:e>
          <m:sub>
            <m:r>
              <m:t>c</m:t>
            </m:r>
          </m:sub>
          <m:sup>
            <m:r>
              <m:rPr>
                <m:sty m:val="p"/>
              </m:rPr>
              <m:t>t</m:t>
            </m:r>
            <m:r>
              <m:rPr>
                <m:sty m:val="p"/>
              </m:rPr>
              <m:t>r</m:t>
            </m:r>
          </m:sup>
        </m:sSubSup>
      </m:oMath>
      <w:r>
        <w:t>分别表示训练集中第c个OD变量的均值与标准差。验证集和测试集的预处理沿用这组训练统计量，均不重新估计。log(1+x)变换保留非负流量的大小关系，同时压缩数值范围，缓和原有量级差异。随后逐变量标准化，使各OD维度在训练、损失计算和参数更新中采用相近数值尺度。数据依时间先后按6∶2∶2划为训练集、验证集和测试集。每个集合内部独立生成滑动窗口，窗口不跨越集合边界。</w:t>
      </w:r>
    </w:p>
    <w:p>
      <w:pPr/>
      <w:r>
        <w:t>预处理保留历史窗口原有的时间分辨率，各尺度共用这一窗口。不同尺度序列在此后构造，分别向各专家提供细粒度变化和较平滑的趋势。</w:t>
      </w:r>
    </w:p>
    <w:p>
      <w:pPr/>
      <w:r>
        <w:t>在第2.1节所用的1 h聚合数据上，96步历史输入对应过去96 h，24步预测对应未来24 h。该设置可用于观察小时级需求变化，并提供未来一天的流量预测。</w:t>
      </w:r>
    </w:p>
    <w:p w14:paraId="4A0F6536" w14:textId="77777777" w:rsidR="00B14FA3" w:rsidRPr="00B14FA3" w:rsidRDefault="00B14FA3" w:rsidP="00B14FA3">
      <w:pPr>
        <w:keepNext/>
        <w:spacing w:before="60"/>
        <w:ind w:firstLine="0"/>
        <w:jc w:val="center"/>
      </w:pPr>
      <w:r w:rsidRPr="00B14FA3">
        <w:rPr>
          <w:noProof/>
        </w:rPr>
        <w:drawing>
          <wp:inline distT="0" distB="0" distL="0" distR="0" wp14:anchorId="0702D61E" wp14:editId="2DE249BE">
            <wp:extent cx="5829300" cy="3562579"/>
            <wp:effectExtent l="0" t="0" r="0" b="0"/>
            <wp:docPr id="19" name="Picture 1" descr="历史OD输入经三个独立DLinear尺度专家预测，由窗口统计量路由产生权重并加权求和；曲边区域展开专家内部的趋势与余项预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829300" cy="3562579"/>
                    </a:xfrm>
                    <a:prstGeom prst="rect">
                      <a:avLst/>
                    </a:prstGeom>
                    <a:noFill/>
                    <a:ln>
                      <a:noFill/>
                    </a:ln>
                  </pic:spPr>
                </pic:pic>
              </a:graphicData>
            </a:graphic>
          </wp:inline>
        </w:drawing>
      </w:r>
    </w:p>
    <w:p w14:paraId="4BAAA424" w14:textId="77777777" w:rsidR="00B14FA3" w:rsidRPr="00B14FA3" w:rsidRDefault="00B14FA3" w:rsidP="00B14FA3">
      <w:pPr>
        <w:keepLines/>
        <w:spacing w:before="60" w:after="80"/>
        <w:ind w:firstLine="0"/>
        <w:jc w:val="center"/>
      </w:pPr>
      <w:r>
        <w:rPr>
          <w:rFonts w:eastAsia="黑体"/>
          <w:b/>
          <w:sz w:val="18"/>
          <w:szCs w:val="18"/>
        </w:rPr>
        <w:t>图</w:t>
      </w:r>
      <w:r>
        <w:rPr>
          <w:rFonts w:eastAsia="黑体"/>
          <w:b/>
          <w:sz w:val="18"/>
          <w:szCs w:val="18"/>
        </w:rPr>
        <w:t xml:space="preserve">1 </w:t>
      </w:r>
      <w:r>
        <w:rPr>
          <w:rFonts w:eastAsia="黑体"/>
          <w:b/>
          <w:sz w:val="18"/>
          <w:szCs w:val="18"/>
        </w:rPr>
        <w:t>自适应多尺度网络流量预测方法框架</w:t>
      </w:r>
    </w:p>
    <w:p w14:paraId="61721526" w14:textId="77777777" w:rsidR="00B14FA3" w:rsidRPr="00B14FA3" w:rsidRDefault="00B14FA3" w:rsidP="00B14FA3">
      <w:pPr>
        <w:keepNext/>
        <w:keepLines/>
        <w:spacing w:before="80" w:after="20" w:line="415" w:lineRule="auto"/>
        <w:ind w:firstLine="0"/>
        <w:jc w:val="left"/>
        <w:outlineLvl w:val="1"/>
        <w:rPr>
          <w:rFonts w:eastAsia="黑体"/>
          <w:b/>
          <w:bCs/>
          <w:szCs w:val="32"/>
        </w:rPr>
      </w:pPr>
      <w:r w:rsidRPr="00B14FA3">
        <w:rPr>
          <w:rFonts w:eastAsia="黑体"/>
          <w:b/>
          <w:bCs/>
          <w:szCs w:val="21"/>
        </w:rPr>
        <w:t>1.2 多尺度构造与DLinear专家</w:t>
      </w:r>
      <w:r w:rsidRPr="00B14FA3">
        <w:rPr>
          <w:rFonts w:eastAsia="黑体"/>
          <w:b/>
          <w:bCs/>
          <w:szCs w:val="21"/>
        </w:rPr>
      </w:r>
    </w:p>
    <w:p w14:paraId="70A22C31" w14:textId="77777777" w:rsidR="00B14FA3" w:rsidRPr="00B14FA3" w:rsidRDefault="00B14FA3" w:rsidP="00B14FA3">
      <w:pPr>
        <w:keepNext/>
        <w:keepLines/>
        <w:spacing w:line="360" w:lineRule="auto"/>
      </w:pPr>
      <w:r w:rsidRPr="00B14FA3">
        <w:rPr>
          <w:szCs w:val="21"/>
        </w:rPr>
        <w:t>设尺度集合S={1,2,4}。尺度s规定时间维聚合的窗口大小与步长，两者取值相同。采用非重叠平均池化，任一尺度s的序列构造为：</w:t>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p>
    <w:p w14:paraId="18864864"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Sup>
          <m:e>
            <m:r>
              <m:rPr>
                <m:sty m:val="b"/>
              </m:rPr>
              <m:t>X</m:t>
            </m:r>
          </m:e>
          <m:sub>
            <m:r>
              <m:t>n</m:t>
            </m:r>
            <m:r>
              <m:rPr>
                <m:sty m:val="p"/>
              </m:rPr>
              <m:t>,</m:t>
            </m:r>
            <m:r>
              <m:t>t</m:t>
            </m:r>
          </m:sub>
          <m:sup>
            <m:r>
              <m:rPr>
                <m:sty m:val="p"/>
              </m:rPr>
              <m:t>(</m:t>
            </m:r>
            <m:r>
              <m:t>s</m:t>
            </m:r>
            <m:r>
              <m:rPr>
                <m:sty m:val="p"/>
              </m:rPr>
              <m:t>)</m:t>
            </m:r>
          </m:sup>
        </m:sSubSup>
        <m:r>
          <m:rPr>
            <m:sty m:val="p"/>
          </m:rPr>
          <m:t>=</m:t>
        </m:r>
        <m:f>
          <m:fPr>
            <m:type m:val="bar"/>
          </m:fPr>
          <m:num>
            <m:r>
              <m:t>1</m:t>
            </m:r>
          </m:num>
          <m:den>
            <m:r>
              <m:t>s</m:t>
            </m:r>
          </m:den>
        </m:f>
        <m:nary>
          <m:naryPr>
            <m:chr m:val="∑"/>
            <m:limLoc m:val="undOvr"/>
            <m:subHide m:val="off"/>
            <m:supHide m:val="off"/>
          </m:naryPr>
          <m:sub>
            <m:r>
              <m:t>i</m:t>
            </m:r>
            <m:r>
              <m:rPr>
                <m:sty m:val="p"/>
              </m:rPr>
              <m:t>=</m:t>
            </m:r>
            <m:r>
              <m:t>0</m:t>
            </m:r>
          </m:sub>
          <m:sup>
            <m:r>
              <m:t>s</m:t>
            </m:r>
            <m:r>
              <m:rPr>
                <m:sty m:val="p"/>
              </m:rPr>
              <m:t>−</m:t>
            </m:r>
            <m:r>
              <m:t>1</m:t>
            </m:r>
          </m:sup>
          <m:e>
            <m:sSub>
              <m:e>
                <m:r>
                  <m:rPr>
                    <m:sty m:val="b"/>
                  </m:rPr>
                  <m:t>X</m:t>
                </m:r>
              </m:e>
              <m:sub>
                <m:r>
                  <m:t>n</m:t>
                </m:r>
                <m:r>
                  <m:rPr>
                    <m:sty m:val="p"/>
                  </m:rPr>
                  <m:t>,</m:t>
                </m:r>
                <m:r>
                  <m:t>s</m:t>
                </m:r>
                <m:r>
                  <m:t>t</m:t>
                </m:r>
                <m:r>
                  <m:rPr>
                    <m:sty m:val="p"/>
                  </m:rPr>
                  <m:t>+</m:t>
                </m:r>
                <m:r>
                  <m:t>i</m:t>
                </m:r>
              </m:sub>
            </m:sSub>
          </m:e>
        </m:nary>
        <m:r>
          <m:rPr>
            <m:sty m:val="p"/>
          </m:rPr>
          <m:t>,</m:t>
        </m:r>
        <m:r>
          <m:t> </m:t>
        </m:r>
        <m:r>
          <m:t>t</m:t>
        </m:r>
        <m:r>
          <m:rPr>
            <m:sty m:val="p"/>
          </m:rPr>
          <m:t>=</m:t>
        </m:r>
        <m:r>
          <m:t>0</m:t>
        </m:r>
        <m:r>
          <m:rPr>
            <m:sty m:val="p"/>
          </m:rPr>
          <m:t>,</m:t>
        </m:r>
        <m:r>
          <m:rPr>
            <m:sty m:val="p"/>
          </m:rPr>
          <m:t>…</m:t>
        </m:r>
        <m:r>
          <m:rPr>
            <m:sty m:val="p"/>
          </m:rPr>
          <m:t>,</m:t>
        </m:r>
        <m:f>
          <m:fPr>
            <m:type m:val="bar"/>
          </m:fPr>
          <m:num>
            <m:r>
              <m:t>L</m:t>
            </m:r>
          </m:num>
          <m:den>
            <m:r>
              <m:t>s</m:t>
            </m:r>
          </m:den>
        </m:f>
        <m:r>
          <m:rPr>
            <m:sty m:val="p"/>
          </m:rPr>
          <m:t>−</m:t>
        </m:r>
        <m:r>
          <m:t>1</m:t>
        </m:r>
        <m:r>
          <m:rPr>
            <m:sty m:val="p"/>
          </m:rPr>
          <m:t>.</m:t>
        </m:r>
      </m:oMath>
      <w:r w:rsidRPr="00B14FA3">
        <w:rPr>
          <w:rFonts w:ascii="Cambria Math" w:eastAsia="Cambria Math" w:hAnsi="Cambria Math"/>
          <w:kern w:val="0"/>
          <w:szCs w:val="20"/>
        </w:rPr>
        <w:tab/>
      </w:r>
      <w:r w:rsidRPr="00B14FA3">
        <w:rPr>
          <w:kern w:val="0"/>
          <w:szCs w:val="20"/>
        </w:rPr>
        <w:t>(5)</w:t>
      </w:r>
    </w:p>
    <w:p w14:paraId="7293F014" w14:textId="77777777" w:rsidR="00B14FA3" w:rsidRPr="00B14FA3" w:rsidRDefault="00B14FA3" w:rsidP="00B14FA3">
      <w:pPr>
        <w:keepLines/>
        <w:spacing w:line="360" w:lineRule="auto"/>
      </w:pPr>
      <w:r w:rsidRPr="00B14FA3">
        <w:rPr>
          <w:szCs w:val="21"/>
        </w:rPr>
        <w:t>本文使用尺度集合S={1,2,4}。L=96时，尺度1保留原始96步输入。相邻2个时间点的均值构成尺度2的聚合点，序列长度为48步；尺度4以每4个时间点的均值构成聚合点，序列长度为24步。尺度1不压缩时间轴，保留较完整的短时起伏；尺度2适度平滑局部变化。尺度4对短时间内的高频变化进一步平滑，较慢的趋势因而更突出。多分辨率输入由无需训练参数的平均池化构造，尺度变换也不另设可训练模块，因而这部分输入构造不增加模型参数。</w:t>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p>
    <w:p>
      <w:pPr>
        <w:widowControl/>
      </w:pPr>
      <w:r>
        <w:t>96步历史窗口在尺度1、2和4下均可得到整数长度序列，专家数量由这一尺度设置确定。更多尺度会带来更粗、有效时间长度更短的序列，还需为相应预测增加专家分支。固定尺度组合{1,2,4}是在细粒度信息、趋势信息和模型规模之间作出的取舍。采用非重叠池化时，原始时间点在同一尺度内只参与一次聚合，各尺度的时间聚合含义因此较为直接。</w:t>
      </w:r>
    </w:p>
    <w:p w14:paraId="0C0C1858" w14:textId="77777777" w:rsidR="00B14FA3" w:rsidRPr="00B14FA3" w:rsidRDefault="00B14FA3" w:rsidP="00B14FA3">
      <w:pPr>
        <w:spacing w:line="360" w:lineRule="auto"/>
      </w:pPr>
      <w:r>
        <w:t>尺度1、2和4分别交由DLinear专家[6]处理，每个专家独立接收对应尺度的序列。DLinear的预测分两步完成：先分解出变化较慢的趋势项和围绕趋势变化的余项，再对这两项分别作时间映射。对尺度s的输入，以长度q=25的中心移动平均在局部时间邻域内平滑并提取趋势项。边界处不足完整窗口时，复制端点补齐缺少部分，防止平滑后的序列缩短；补齐后的序列记为</w:t>
      </w:r>
      <m:oMath>
        <m:sSup>
          <m:e>
            <m:acc>
              <m:accPr>
                <m:chr m:val="̃"/>
              </m:accPr>
              <m:e>
                <m:r>
                  <m:rPr>
                    <m:sty m:val="b"/>
                  </m:rPr>
                  <m:t>X</m:t>
                </m:r>
              </m:e>
            </m:acc>
          </m:e>
          <m:sup>
            <m:r>
              <m:rPr>
                <m:sty m:val="p"/>
              </m:rPr>
              <m:t>(</m:t>
            </m:r>
            <m:r>
              <m:t>s</m:t>
            </m:r>
            <m:r>
              <m:rPr>
                <m:sty m:val="p"/>
              </m:rPr>
              <m:t>)</m:t>
            </m:r>
          </m:sup>
        </m:sSup>
      </m:oMath>
      <w:r>
        <w:t>；越界索引取最近端点值，从而保持分解前后的时间长度一致：</w:t>
      </w:r>
    </w:p>
    <w:p w14:paraId="470EA410"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Sup>
          <m:e>
            <m:r>
              <m:rPr>
                <m:sty m:val="b"/>
              </m:rPr>
              <m:t>T</m:t>
            </m:r>
          </m:e>
          <m:sub>
            <m:r>
              <m:t>n</m:t>
            </m:r>
            <m:r>
              <m:rPr>
                <m:sty m:val="p"/>
              </m:rPr>
              <m:t>,</m:t>
            </m:r>
            <m:r>
              <m:t>t</m:t>
            </m:r>
          </m:sub>
          <m:sup>
            <m:r>
              <m:rPr>
                <m:sty m:val="p"/>
              </m:rPr>
              <m:t>(</m:t>
            </m:r>
            <m:r>
              <m:t>s</m:t>
            </m:r>
            <m:r>
              <m:rPr>
                <m:sty m:val="p"/>
              </m:rPr>
              <m:t>)</m:t>
            </m:r>
          </m:sup>
        </m:sSubSup>
        <m:r>
          <m:rPr>
            <m:sty m:val="p"/>
          </m:rPr>
          <m:t>=</m:t>
        </m:r>
        <m:f>
          <m:fPr>
            <m:type m:val="bar"/>
          </m:fPr>
          <m:num>
            <m:r>
              <m:t>1</m:t>
            </m:r>
          </m:num>
          <m:den>
            <m:r>
              <m:t>q</m:t>
            </m:r>
          </m:den>
        </m:f>
        <m:nary>
          <m:naryPr>
            <m:chr m:val="∑"/>
            <m:limLoc m:val="undOvr"/>
            <m:subHide m:val="off"/>
            <m:supHide m:val="off"/>
          </m:naryPr>
          <m:sub>
            <m:r>
              <m:t>i</m:t>
            </m:r>
            <m:r>
              <m:rPr>
                <m:sty m:val="p"/>
              </m:rPr>
              <m:t>=</m:t>
            </m:r>
            <m:r>
              <m:rPr>
                <m:sty m:val="p"/>
              </m:rPr>
              <m:t>−</m:t>
            </m:r>
            <m:r>
              <m:t>m</m:t>
            </m:r>
          </m:sub>
          <m:sup>
            <m:r>
              <m:t>m</m:t>
            </m:r>
          </m:sup>
          <m:e>
            <m:sSubSup>
              <m:e>
                <m:acc>
                  <m:accPr>
                    <m:chr m:val="̃"/>
                  </m:accPr>
                  <m:e>
                    <m:r>
                      <m:rPr>
                        <m:sty m:val="b"/>
                      </m:rPr>
                      <m:t>X</m:t>
                    </m:r>
                  </m:e>
                </m:acc>
              </m:e>
              <m:sub>
                <m:r>
                  <m:t>n</m:t>
                </m:r>
                <m:r>
                  <m:rPr>
                    <m:sty m:val="p"/>
                  </m:rPr>
                  <m:t>,</m:t>
                </m:r>
                <m:r>
                  <m:t>t</m:t>
                </m:r>
                <m:r>
                  <m:rPr>
                    <m:sty m:val="p"/>
                  </m:rPr>
                  <m:t>+</m:t>
                </m:r>
                <m:r>
                  <m:t>i</m:t>
                </m:r>
              </m:sub>
              <m:sup>
                <m:r>
                  <m:rPr>
                    <m:sty m:val="p"/>
                  </m:rPr>
                  <m:t>(</m:t>
                </m:r>
                <m:r>
                  <m:t>s</m:t>
                </m:r>
                <m:r>
                  <m:rPr>
                    <m:sty m:val="p"/>
                  </m:rPr>
                  <m:t>)</m:t>
                </m:r>
              </m:sup>
            </m:sSubSup>
          </m:e>
        </m:nary>
        <m:r>
          <m:rPr>
            <m:sty m:val="p"/>
          </m:rPr>
          <m:t>,</m:t>
        </m:r>
        <m:r>
          <m:t> </m:t>
        </m:r>
        <m:r>
          <m:t>q</m:t>
        </m:r>
        <m:r>
          <m:rPr>
            <m:sty m:val="p"/>
          </m:rPr>
          <m:t>=</m:t>
        </m:r>
        <m:r>
          <m:t>2</m:t>
        </m:r>
        <m:r>
          <m:t>m</m:t>
        </m:r>
        <m:r>
          <m:rPr>
            <m:sty m:val="p"/>
          </m:rPr>
          <m:t>+</m:t>
        </m:r>
        <m:r>
          <m:t>1</m:t>
        </m:r>
        <m:r>
          <m:rPr>
            <m:sty m:val="p"/>
          </m:rPr>
          <m:t>=</m:t>
        </m:r>
        <m:r>
          <m:t>25</m:t>
        </m:r>
        <m:r>
          <m:rPr>
            <m:sty m:val="p"/>
          </m:rPr>
          <m:t>.</m:t>
        </m:r>
      </m:oMath>
      <w:r w:rsidRPr="00B14FA3">
        <w:rPr>
          <w:rFonts w:ascii="Cambria Math" w:eastAsia="Cambria Math" w:hAnsi="Cambria Math"/>
          <w:kern w:val="0"/>
          <w:szCs w:val="20"/>
        </w:rPr>
        <w:tab/>
      </w:r>
      <w:r w:rsidRPr="00B14FA3">
        <w:rPr>
          <w:kern w:val="0"/>
          <w:szCs w:val="20"/>
        </w:rPr>
        <w:t>(6)</w:t>
      </w:r>
    </w:p>
    <w:p w14:paraId="17B8C737"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Sup>
          <m:e>
            <m:r>
              <m:rPr>
                <m:sty m:val="b"/>
              </m:rPr>
              <m:t>R</m:t>
            </m:r>
          </m:e>
          <m:sub>
            <m:r>
              <m:t>n</m:t>
            </m:r>
          </m:sub>
          <m:sup>
            <m:r>
              <m:rPr>
                <m:sty m:val="p"/>
              </m:rPr>
              <m:t>(</m:t>
            </m:r>
            <m:r>
              <m:t>s</m:t>
            </m:r>
            <m:r>
              <m:rPr>
                <m:sty m:val="p"/>
              </m:rPr>
              <m:t>)</m:t>
            </m:r>
          </m:sup>
        </m:sSubSup>
        <m:r>
          <m:rPr>
            <m:sty m:val="p"/>
          </m:rPr>
          <m:t>=</m:t>
        </m:r>
        <m:sSubSup>
          <m:e>
            <m:r>
              <m:rPr>
                <m:sty m:val="b"/>
              </m:rPr>
              <m:t>X</m:t>
            </m:r>
          </m:e>
          <m:sub>
            <m:r>
              <m:t>n</m:t>
            </m:r>
          </m:sub>
          <m:sup>
            <m:r>
              <m:rPr>
                <m:sty m:val="p"/>
              </m:rPr>
              <m:t>(</m:t>
            </m:r>
            <m:r>
              <m:t>s</m:t>
            </m:r>
            <m:r>
              <m:rPr>
                <m:sty m:val="p"/>
              </m:rPr>
              <m:t>)</m:t>
            </m:r>
          </m:sup>
        </m:sSubSup>
        <m:r>
          <m:rPr>
            <m:sty m:val="p"/>
          </m:rPr>
          <m:t>−</m:t>
        </m:r>
        <m:sSubSup>
          <m:e>
            <m:r>
              <m:rPr>
                <m:sty m:val="b"/>
              </m:rPr>
              <m:t>T</m:t>
            </m:r>
          </m:e>
          <m:sub>
            <m:r>
              <m:t>n</m:t>
            </m:r>
          </m:sub>
          <m:sup>
            <m:r>
              <m:rPr>
                <m:sty m:val="p"/>
              </m:rPr>
              <m:t>(</m:t>
            </m:r>
            <m:r>
              <m:t>s</m:t>
            </m:r>
            <m:r>
              <m:rPr>
                <m:sty m:val="p"/>
              </m:rPr>
              <m:t>)</m:t>
            </m:r>
          </m:sup>
        </m:sSubSup>
        <m:r>
          <m:rPr>
            <m:sty m:val="p"/>
          </m:rPr>
          <m:t>.</m:t>
        </m:r>
      </m:oMath>
      <w:r w:rsidRPr="00B14FA3">
        <w:rPr>
          <w:rFonts w:ascii="Cambria Math" w:eastAsia="Cambria Math" w:hAnsi="Cambria Math"/>
          <w:kern w:val="0"/>
          <w:szCs w:val="20"/>
        </w:rPr>
        <w:tab/>
      </w:r>
      <w:r w:rsidRPr="00B14FA3">
        <w:rPr>
          <w:kern w:val="0"/>
          <w:szCs w:val="20"/>
        </w:rPr>
        <w:t>(7)</w:t>
      </w:r>
    </w:p>
    <w:p w14:paraId="26BF54CF" w14:textId="77777777" w:rsidR="00B14FA3" w:rsidRPr="00B14FA3" w:rsidRDefault="00B14FA3" w:rsidP="00B14FA3">
      <w:pPr>
        <w:spacing w:line="360" w:lineRule="auto"/>
      </w:pPr>
      <w:r>
        <w:t>趋势项</w:t>
      </w:r>
      <m:oMath>
        <m:sSup>
          <m:e>
            <m:r>
              <m:rPr>
                <m:sty m:val="b"/>
              </m:rPr>
              <m:t>T</m:t>
            </m:r>
          </m:e>
          <m:sup>
            <m:r>
              <m:rPr>
                <m:sty m:val="p"/>
              </m:rPr>
              <m:t>(</m:t>
            </m:r>
            <m:r>
              <m:t>s</m:t>
            </m:r>
            <m:r>
              <m:rPr>
                <m:sty m:val="p"/>
              </m:rPr>
              <m:t>)</m:t>
            </m:r>
          </m:sup>
        </m:sSup>
      </m:oMath>
      <w:r>
        <w:t>和余项</w:t>
      </w:r>
      <m:oMath>
        <m:sSup>
          <m:e>
            <m:r>
              <m:rPr>
                <m:sty m:val="b"/>
              </m:rPr>
              <m:t>R</m:t>
            </m:r>
          </m:e>
          <m:sup>
            <m:r>
              <m:rPr>
                <m:sty m:val="p"/>
              </m:rPr>
              <m:t>(</m:t>
            </m:r>
            <m:r>
              <m:t>s</m:t>
            </m:r>
            <m:r>
              <m:rPr>
                <m:sty m:val="p"/>
              </m:rPr>
              <m:t>)</m:t>
            </m:r>
          </m:sup>
        </m:sSup>
      </m:oMath>
      <w:r>
        <w:t>沿时间维分别通过线性层映射到预测长度H：</w:t>
      </w:r>
    </w:p>
    <w:p w14:paraId="15255C26"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Sup>
          <m:e>
            <m:acc>
              <m:accPr>
                <m:chr m:val="̂"/>
              </m:accPr>
              <m:e>
                <m:r>
                  <m:rPr>
                    <m:sty m:val="b"/>
                  </m:rPr>
                  <m:t>Y</m:t>
                </m:r>
              </m:e>
            </m:acc>
          </m:e>
          <m:sub>
            <m:r>
              <m:t>n</m:t>
            </m:r>
          </m:sub>
          <m:sup>
            <m:r>
              <m:rPr>
                <m:sty m:val="p"/>
              </m:rPr>
              <m:t>(</m:t>
            </m:r>
            <m:r>
              <m:t>s</m:t>
            </m:r>
            <m:r>
              <m:rPr>
                <m:sty m:val="p"/>
              </m:rPr>
              <m:t>)</m:t>
            </m:r>
          </m:sup>
        </m:sSubSup>
        <m:r>
          <m:rPr>
            <m:sty m:val="p"/>
          </m:rPr>
          <m:t>=</m:t>
        </m:r>
        <m:sSubSup>
          <m:e>
            <m:r>
              <m:rPr>
                <m:sty m:val="b"/>
              </m:rPr>
              <m:t>W</m:t>
            </m:r>
          </m:e>
          <m:sub>
            <m:r>
              <m:t>T</m:t>
            </m:r>
          </m:sub>
          <m:sup>
            <m:r>
              <m:rPr>
                <m:sty m:val="p"/>
              </m:rPr>
              <m:t>(</m:t>
            </m:r>
            <m:r>
              <m:t>s</m:t>
            </m:r>
            <m:r>
              <m:rPr>
                <m:sty m:val="p"/>
              </m:rPr>
              <m:t>)</m:t>
            </m:r>
          </m:sup>
        </m:sSubSup>
        <m:sSubSup>
          <m:e>
            <m:r>
              <m:rPr>
                <m:sty m:val="b"/>
              </m:rPr>
              <m:t>T</m:t>
            </m:r>
          </m:e>
          <m:sub>
            <m:r>
              <m:t>n</m:t>
            </m:r>
          </m:sub>
          <m:sup>
            <m:r>
              <m:rPr>
                <m:sty m:val="p"/>
              </m:rPr>
              <m:t>(</m:t>
            </m:r>
            <m:r>
              <m:t>s</m:t>
            </m:r>
            <m:r>
              <m:rPr>
                <m:sty m:val="p"/>
              </m:rPr>
              <m:t>)</m:t>
            </m:r>
          </m:sup>
        </m:sSubSup>
        <m:r>
          <m:rPr>
            <m:sty m:val="p"/>
          </m:rPr>
          <m:t>+</m:t>
        </m:r>
        <m:sSubSup>
          <m:e>
            <m:r>
              <m:rPr>
                <m:sty m:val="b"/>
              </m:rPr>
              <m:t>b</m:t>
            </m:r>
          </m:e>
          <m:sub>
            <m:r>
              <m:t>T</m:t>
            </m:r>
          </m:sub>
          <m:sup>
            <m:r>
              <m:rPr>
                <m:sty m:val="p"/>
              </m:rPr>
              <m:t>(</m:t>
            </m:r>
            <m:r>
              <m:t>s</m:t>
            </m:r>
            <m:r>
              <m:rPr>
                <m:sty m:val="p"/>
              </m:rPr>
              <m:t>)</m:t>
            </m:r>
          </m:sup>
        </m:sSubSup>
        <m:r>
          <m:rPr>
            <m:sty m:val="p"/>
          </m:rPr>
          <m:t>+</m:t>
        </m:r>
        <m:sSubSup>
          <m:e>
            <m:r>
              <m:rPr>
                <m:sty m:val="b"/>
              </m:rPr>
              <m:t>W</m:t>
            </m:r>
          </m:e>
          <m:sub>
            <m:r>
              <m:t>R</m:t>
            </m:r>
          </m:sub>
          <m:sup>
            <m:r>
              <m:rPr>
                <m:sty m:val="p"/>
              </m:rPr>
              <m:t>(</m:t>
            </m:r>
            <m:r>
              <m:t>s</m:t>
            </m:r>
            <m:r>
              <m:rPr>
                <m:sty m:val="p"/>
              </m:rPr>
              <m:t>)</m:t>
            </m:r>
          </m:sup>
        </m:sSubSup>
        <m:sSubSup>
          <m:e>
            <m:r>
              <m:rPr>
                <m:sty m:val="b"/>
              </m:rPr>
              <m:t>R</m:t>
            </m:r>
          </m:e>
          <m:sub>
            <m:r>
              <m:t>n</m:t>
            </m:r>
          </m:sub>
          <m:sup>
            <m:r>
              <m:rPr>
                <m:sty m:val="p"/>
              </m:rPr>
              <m:t>(</m:t>
            </m:r>
            <m:r>
              <m:t>s</m:t>
            </m:r>
            <m:r>
              <m:rPr>
                <m:sty m:val="p"/>
              </m:rPr>
              <m:t>)</m:t>
            </m:r>
          </m:sup>
        </m:sSubSup>
        <m:r>
          <m:rPr>
            <m:sty m:val="p"/>
          </m:rPr>
          <m:t>+</m:t>
        </m:r>
        <m:sSubSup>
          <m:e>
            <m:r>
              <m:rPr>
                <m:sty m:val="b"/>
              </m:rPr>
              <m:t>b</m:t>
            </m:r>
          </m:e>
          <m:sub>
            <m:r>
              <m:t>R</m:t>
            </m:r>
          </m:sub>
          <m:sup>
            <m:r>
              <m:rPr>
                <m:sty m:val="p"/>
              </m:rPr>
              <m:t>(</m:t>
            </m:r>
            <m:r>
              <m:t>s</m:t>
            </m:r>
            <m:r>
              <m:rPr>
                <m:sty m:val="p"/>
              </m:rPr>
              <m:t>)</m:t>
            </m:r>
          </m:sup>
        </m:sSubSup>
        <m:r>
          <m:rPr>
            <m:sty m:val="p"/>
          </m:rPr>
          <m:t>.</m:t>
        </m:r>
      </m:oMath>
      <w:r w:rsidRPr="00B14FA3">
        <w:rPr>
          <w:rFonts w:ascii="Cambria Math" w:eastAsia="Cambria Math" w:hAnsi="Cambria Math"/>
          <w:kern w:val="0"/>
          <w:szCs w:val="20"/>
        </w:rPr>
        <w:tab/>
      </w:r>
      <w:r w:rsidRPr="00B14FA3">
        <w:rPr>
          <w:kern w:val="0"/>
          <w:szCs w:val="20"/>
        </w:rPr>
        <w:t>(8)</w:t>
      </w:r>
    </w:p>
    <w:p w14:paraId="554CD434" w14:textId="77777777" w:rsidR="00B14FA3" w:rsidRPr="00B14FA3" w:rsidRDefault="00B14FA3" w:rsidP="00B14FA3">
      <w:pPr>
        <w:spacing w:line="360" w:lineRule="auto"/>
      </w:pPr>
      <w:r>
        <w:t>由式（6）和式（7）可得到尺度s上的趋势项</w:t>
      </w:r>
      <m:oMath>
        <m:sSup>
          <m:e>
            <m:r>
              <m:rPr>
                <m:sty m:val="b"/>
              </m:rPr>
              <m:t>T</m:t>
            </m:r>
          </m:e>
          <m:sup>
            <m:r>
              <m:rPr>
                <m:sty m:val="p"/>
              </m:rPr>
              <m:t>(</m:t>
            </m:r>
            <m:r>
              <m:t>s</m:t>
            </m:r>
            <m:r>
              <m:rPr>
                <m:sty m:val="p"/>
              </m:rPr>
              <m:t>)</m:t>
            </m:r>
          </m:sup>
        </m:sSup>
      </m:oMath>
      <w:r>
        <w:t>和余项</w:t>
      </w:r>
      <m:oMath>
        <m:sSup>
          <m:e>
            <m:r>
              <m:rPr>
                <m:sty m:val="b"/>
              </m:rPr>
              <m:t>R</m:t>
            </m:r>
          </m:e>
          <m:sup>
            <m:r>
              <m:rPr>
                <m:sty m:val="p"/>
              </m:rPr>
              <m:t>(</m:t>
            </m:r>
            <m:r>
              <m:t>s</m:t>
            </m:r>
            <m:r>
              <m:rPr>
                <m:sty m:val="p"/>
              </m:rPr>
              <m:t>)</m:t>
            </m:r>
          </m:sup>
        </m:sSup>
      </m:oMath>
      <w:r>
        <w:t>。趋势项表示经过局部平滑后保留下来的较慢变化部分，余项则由原序列减去趋势项得到，保留未被移动平均解释的局部变化。式（8）分别对两部分沿时间维进行线性映射，并把二者的预测结果相加形成该尺度的候选预测。3个尺度使用独立DLinear专家，是因为尺度1、2和4的输入长度分别为96、48和24，对应的时间分辨率和时间映射关系并不相同；若强制共用一组尺度间参数，会把不同长度、不同平滑程度的序列约束到同一映射中。同一尺度内部，各OD变量共享时间映射参数，模型学习的是这一时间尺度下通用的时间映射形式，而不是为每个OD变量分别建立一套线性层。</w:t>
      </w:r>
    </w:p>
    <w:p w14:paraId="7F75A3C8" w14:textId="77777777" w:rsidR="00B14FA3" w:rsidRPr="00B14FA3" w:rsidRDefault="00B14FA3" w:rsidP="00B14FA3">
      <w:pPr>
        <w:keepNext/>
        <w:keepLines/>
        <w:spacing w:before="80" w:after="20" w:line="415" w:lineRule="auto"/>
        <w:ind w:firstLine="0"/>
        <w:jc w:val="left"/>
        <w:outlineLvl w:val="1"/>
        <w:rPr>
          <w:rFonts w:eastAsia="黑体"/>
          <w:b/>
          <w:bCs/>
          <w:szCs w:val="32"/>
        </w:rPr>
      </w:pPr>
      <w:r w:rsidRPr="00B14FA3">
        <w:rPr>
          <w:rFonts w:eastAsia="黑体"/>
          <w:b/>
          <w:bCs/>
          <w:szCs w:val="21"/>
        </w:rPr>
        <w:t>1.3 样本级自适应尺度加权</w:t>
      </w:r>
      <w:r w:rsidRPr="00B14FA3">
        <w:rPr>
          <w:rFonts w:eastAsia="黑体"/>
          <w:b/>
          <w:bCs/>
          <w:szCs w:val="21"/>
        </w:rPr>
      </w:r>
    </w:p>
    <w:p w14:paraId="5F192824" w14:textId="77777777" w:rsidR="00B14FA3" w:rsidRPr="00B14FA3" w:rsidRDefault="00B14FA3" w:rsidP="00B14FA3">
      <w:pPr>
        <w:keepLines/>
        <w:spacing w:line="360" w:lineRule="auto"/>
      </w:pPr>
      <w:r>
        <w:t>同一样本由3个DLinear专家分别预测，最终输出由这3组结果融合而成。若将3个尺度固定设为各占1/3，融合比例对所有输入窗口相同。窗口状态差异为改变融合比例提供了设计依据：局部波动较强时可能更依赖细粒度信息，变化平稳时可能更依赖较粗尺度的趋势信息。本文依据窗口统计量计算权重，使融合比例随样本状态变化。由原始输入</w:t>
      </w:r>
      <m:oMath>
        <m:sSub>
          <m:e>
            <m:r>
              <m:rPr>
                <m:sty m:val="b"/>
              </m:rPr>
              <m:t>X</m:t>
            </m:r>
          </m:e>
          <m:sub>
            <m:r>
              <m:t>n</m:t>
            </m:r>
          </m:sub>
        </m:sSub>
      </m:oMath>
      <w:r>
        <w:t>提取四维统计向量</w:t>
      </w:r>
      <m:oMath>
        <m:sSub>
          <m:e>
            <m:r>
              <m:rPr>
                <m:sty m:val="b"/>
              </m:rPr>
              <m:t>z</m:t>
            </m:r>
          </m:e>
          <m:sub>
            <m:r>
              <m:t>n</m:t>
            </m:r>
          </m:sub>
        </m:sSub>
        <m:r>
          <m:rPr>
            <m:sty m:val="p"/>
          </m:rPr>
          <m:t>=</m:t>
        </m:r>
        <m:r>
          <m:rPr>
            <m:sty m:val="p"/>
          </m:rPr>
          <m:t>[</m:t>
        </m:r>
        <m:sSub>
          <m:e>
            <m:r>
              <m:t>μ</m:t>
            </m:r>
          </m:e>
          <m:sub>
            <m:r>
              <m:t>n</m:t>
            </m:r>
          </m:sub>
        </m:sSub>
        <m:r>
          <m:rPr>
            <m:sty m:val="p"/>
          </m:rPr>
          <m:t>,</m:t>
        </m:r>
        <m:sSub>
          <m:e>
            <m:r>
              <m:t>σ</m:t>
            </m:r>
          </m:e>
          <m:sub>
            <m:r>
              <m:t>n</m:t>
            </m:r>
          </m:sub>
        </m:sSub>
        <m:r>
          <m:rPr>
            <m:sty m:val="p"/>
          </m:rPr>
          <m:t>,</m:t>
        </m:r>
        <m:sSub>
          <m:e>
            <m:r>
              <m:t>ℓ</m:t>
            </m:r>
          </m:e>
          <m:sub>
            <m:r>
              <m:t>n</m:t>
            </m:r>
          </m:sub>
        </m:sSub>
        <m:r>
          <m:rPr>
            <m:sty m:val="p"/>
          </m:rPr>
          <m:t>,</m:t>
        </m:r>
        <m:sSub>
          <m:e>
            <m:r>
              <m:t>d</m:t>
            </m:r>
          </m:e>
          <m:sub>
            <m:r>
              <m:t>n</m:t>
            </m:r>
          </m:sub>
        </m:sSub>
        <m:r>
          <m:rPr>
            <m:sty m:val="p"/>
          </m:rPr>
          <m:t>]</m:t>
        </m:r>
      </m:oMath>
      <w:r>
        <w:t>，用这些统计量描述当前窗口状态，其中</w:t>
      </w:r>
    </w:p>
    <w:p w14:paraId="6325C9EA"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e>
            <m:r>
              <m:t>μ</m:t>
            </m:r>
          </m:e>
          <m:sub>
            <m:r>
              <m:t>n</m:t>
            </m:r>
          </m:sub>
        </m:sSub>
        <m:r>
          <m:rPr>
            <m:sty m:val="p"/>
          </m:rPr>
          <m:t>=</m:t>
        </m:r>
        <m:f>
          <m:fPr>
            <m:type m:val="bar"/>
          </m:fPr>
          <m:num>
            <m:r>
              <m:t>1</m:t>
            </m:r>
          </m:num>
          <m:den>
            <m:r>
              <m:t>L</m:t>
            </m:r>
            <m:r>
              <m:t>C</m:t>
            </m:r>
          </m:den>
        </m:f>
        <m:nary>
          <m:naryPr>
            <m:chr m:val="∑"/>
            <m:limLoc m:val="undOvr"/>
            <m:subHide m:val="off"/>
            <m:supHide m:val="off"/>
          </m:naryPr>
          <m:sub>
            <m:r>
              <m:t>t</m:t>
            </m:r>
            <m:r>
              <m:rPr>
                <m:sty m:val="p"/>
              </m:rPr>
              <m:t>=</m:t>
            </m:r>
            <m:r>
              <m:t>0</m:t>
            </m:r>
          </m:sub>
          <m:sup>
            <m:r>
              <m:t>L</m:t>
            </m:r>
            <m:r>
              <m:rPr>
                <m:sty m:val="p"/>
              </m:rPr>
              <m:t>−</m:t>
            </m:r>
            <m:r>
              <m:t>1</m:t>
            </m:r>
          </m:sup>
          <m:e>
            <m:nary>
              <m:naryPr>
                <m:chr m:val="∑"/>
                <m:limLoc m:val="undOvr"/>
                <m:subHide m:val="off"/>
                <m:supHide m:val="off"/>
              </m:naryPr>
              <m:sub>
                <m:r>
                  <m:t>c</m:t>
                </m:r>
                <m:r>
                  <m:rPr>
                    <m:sty m:val="p"/>
                  </m:rPr>
                  <m:t>=</m:t>
                </m:r>
                <m:r>
                  <m:t>1</m:t>
                </m:r>
              </m:sub>
              <m:sup>
                <m:r>
                  <m:t>C</m:t>
                </m:r>
              </m:sup>
              <m:e>
                <m:sSub>
                  <m:e>
                    <m:r>
                      <m:t>X</m:t>
                    </m:r>
                  </m:e>
                  <m:sub>
                    <m:r>
                      <m:t>n</m:t>
                    </m:r>
                    <m:r>
                      <m:rPr>
                        <m:sty m:val="p"/>
                      </m:rPr>
                      <m:t>,</m:t>
                    </m:r>
                    <m:r>
                      <m:t>t</m:t>
                    </m:r>
                    <m:r>
                      <m:rPr>
                        <m:sty m:val="p"/>
                      </m:rPr>
                      <m:t>,</m:t>
                    </m:r>
                    <m:r>
                      <m:t>c</m:t>
                    </m:r>
                  </m:sub>
                </m:sSub>
              </m:e>
            </m:nary>
          </m:e>
        </m:nary>
        <m:r>
          <m:rPr>
            <m:sty m:val="p"/>
          </m:rPr>
          <m:t>,</m:t>
        </m:r>
        <m:r>
          <m:t> </m:t>
        </m:r>
        <m:sSub>
          <m:e>
            <m:r>
              <m:t>σ</m:t>
            </m:r>
          </m:e>
          <m:sub>
            <m:r>
              <m:t>n</m:t>
            </m:r>
          </m:sub>
        </m:sSub>
        <m:r>
          <m:rPr>
            <m:sty m:val="p"/>
          </m:rPr>
          <m:t>=</m:t>
        </m:r>
        <m:rad>
          <m:radPr>
            <m:degHide m:val="on"/>
          </m:radPr>
          <m:deg/>
          <m:e>
            <m:f>
              <m:fPr>
                <m:type m:val="bar"/>
              </m:fPr>
              <m:num>
                <m:r>
                  <m:t>1</m:t>
                </m:r>
              </m:num>
              <m:den>
                <m:r>
                  <m:t>L</m:t>
                </m:r>
                <m:r>
                  <m:t>C</m:t>
                </m:r>
              </m:den>
            </m:f>
            <m:nary>
              <m:naryPr>
                <m:chr m:val="∑"/>
                <m:limLoc m:val="undOvr"/>
                <m:subHide m:val="off"/>
                <m:supHide m:val="off"/>
              </m:naryPr>
              <m:sub>
                <m:r>
                  <m:t>t</m:t>
                </m:r>
                <m:r>
                  <m:rPr>
                    <m:sty m:val="p"/>
                  </m:rPr>
                  <m:t>=</m:t>
                </m:r>
                <m:r>
                  <m:t>0</m:t>
                </m:r>
              </m:sub>
              <m:sup>
                <m:r>
                  <m:t>L</m:t>
                </m:r>
                <m:r>
                  <m:rPr>
                    <m:sty m:val="p"/>
                  </m:rPr>
                  <m:t>−</m:t>
                </m:r>
                <m:r>
                  <m:t>1</m:t>
                </m:r>
              </m:sup>
              <m:e>
                <m:nary>
                  <m:naryPr>
                    <m:chr m:val="∑"/>
                    <m:limLoc m:val="undOvr"/>
                    <m:subHide m:val="off"/>
                    <m:supHide m:val="off"/>
                  </m:naryPr>
                  <m:sub>
                    <m:r>
                      <m:t>c</m:t>
                    </m:r>
                    <m:r>
                      <m:rPr>
                        <m:sty m:val="p"/>
                      </m:rPr>
                      <m:t>=</m:t>
                    </m:r>
                    <m:r>
                      <m:t>1</m:t>
                    </m:r>
                  </m:sub>
                  <m:sup>
                    <m:r>
                      <m:t>C</m:t>
                    </m:r>
                  </m:sup>
                  <m:e>
                    <m:r>
                      <m:rPr>
                        <m:sty m:val="p"/>
                      </m:rPr>
                      <m:t>(</m:t>
                    </m:r>
                  </m:e>
                </m:nary>
              </m:e>
            </m:nary>
            <m:sSub>
              <m:e>
                <m:r>
                  <m:t>X</m:t>
                </m:r>
              </m:e>
              <m:sub>
                <m:r>
                  <m:t>n</m:t>
                </m:r>
                <m:r>
                  <m:rPr>
                    <m:sty m:val="p"/>
                  </m:rPr>
                  <m:t>,</m:t>
                </m:r>
                <m:r>
                  <m:t>t</m:t>
                </m:r>
                <m:r>
                  <m:rPr>
                    <m:sty m:val="p"/>
                  </m:rPr>
                  <m:t>,</m:t>
                </m:r>
                <m:r>
                  <m:t>c</m:t>
                </m:r>
              </m:sub>
            </m:sSub>
            <m:r>
              <m:rPr>
                <m:sty m:val="p"/>
              </m:rPr>
              <m:t>−</m:t>
            </m:r>
            <m:sSub>
              <m:e>
                <m:r>
                  <m:t>μ</m:t>
                </m:r>
              </m:e>
              <m:sub>
                <m:r>
                  <m:t>n</m:t>
                </m:r>
              </m:sub>
            </m:sSub>
            <m:sSup>
              <m:e>
                <m:r>
                  <m:rPr>
                    <m:sty m:val="p"/>
                  </m:rPr>
                  <m:t>)</m:t>
                </m:r>
              </m:e>
              <m:sup>
                <m:r>
                  <m:t>2</m:t>
                </m:r>
              </m:sup>
            </m:sSup>
          </m:e>
        </m:rad>
        <m:r>
          <m:rPr>
            <m:sty m:val="p"/>
          </m:rPr>
          <m:t>.</m:t>
        </m:r>
      </m:oMath>
      <w:r w:rsidRPr="00B14FA3">
        <w:rPr>
          <w:rFonts w:ascii="Cambria Math" w:eastAsia="Cambria Math" w:hAnsi="Cambria Math"/>
          <w:kern w:val="0"/>
          <w:szCs w:val="20"/>
        </w:rPr>
        <w:tab/>
      </w:r>
      <w:r w:rsidRPr="00B14FA3">
        <w:rPr>
          <w:kern w:val="0"/>
          <w:szCs w:val="20"/>
        </w:rPr>
        <w:t>(9)</w:t>
      </w:r>
    </w:p>
    <w:p w14:paraId="3BBFF1DF"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e>
            <m:r>
              <m:t>ℓ</m:t>
            </m:r>
          </m:e>
          <m:sub>
            <m:r>
              <m:t>n</m:t>
            </m:r>
          </m:sub>
        </m:sSub>
        <m:r>
          <m:rPr>
            <m:sty m:val="p"/>
          </m:rPr>
          <m:t>=</m:t>
        </m:r>
        <m:f>
          <m:fPr>
            <m:type m:val="bar"/>
          </m:fPr>
          <m:num>
            <m:r>
              <m:t>1</m:t>
            </m:r>
          </m:num>
          <m:den>
            <m:r>
              <m:t>C</m:t>
            </m:r>
          </m:den>
        </m:f>
        <m:nary>
          <m:naryPr>
            <m:chr m:val="∑"/>
            <m:limLoc m:val="undOvr"/>
            <m:subHide m:val="off"/>
            <m:supHide m:val="off"/>
          </m:naryPr>
          <m:sub>
            <m:r>
              <m:t>c</m:t>
            </m:r>
            <m:r>
              <m:rPr>
                <m:sty m:val="p"/>
              </m:rPr>
              <m:t>=</m:t>
            </m:r>
            <m:r>
              <m:t>1</m:t>
            </m:r>
          </m:sub>
          <m:sup>
            <m:r>
              <m:t>C</m:t>
            </m:r>
          </m:sup>
          <m:e>
            <m:sSub>
              <m:e>
                <m:r>
                  <m:t>X</m:t>
                </m:r>
              </m:e>
              <m:sub>
                <m:r>
                  <m:t>n</m:t>
                </m:r>
                <m:r>
                  <m:rPr>
                    <m:sty m:val="p"/>
                  </m:rPr>
                  <m:t>,</m:t>
                </m:r>
                <m:r>
                  <m:t>L</m:t>
                </m:r>
                <m:r>
                  <m:rPr>
                    <m:sty m:val="p"/>
                  </m:rPr>
                  <m:t>−</m:t>
                </m:r>
                <m:r>
                  <m:t>1</m:t>
                </m:r>
                <m:r>
                  <m:rPr>
                    <m:sty m:val="p"/>
                  </m:rPr>
                  <m:t>,</m:t>
                </m:r>
                <m:r>
                  <m:t>c</m:t>
                </m:r>
              </m:sub>
            </m:sSub>
          </m:e>
        </m:nary>
        <m:r>
          <m:rPr>
            <m:sty m:val="p"/>
          </m:rPr>
          <m:t>,</m:t>
        </m:r>
        <m:r>
          <m:t> </m:t>
        </m:r>
        <m:sSub>
          <m:e>
            <m:r>
              <m:t>d</m:t>
            </m:r>
          </m:e>
          <m:sub>
            <m:r>
              <m:t>n</m:t>
            </m:r>
          </m:sub>
        </m:sSub>
        <m:r>
          <m:rPr>
            <m:sty m:val="p"/>
          </m:rPr>
          <m:t>=</m:t>
        </m:r>
        <m:f>
          <m:fPr>
            <m:type m:val="bar"/>
          </m:fPr>
          <m:num>
            <m:r>
              <m:t>1</m:t>
            </m:r>
          </m:num>
          <m:den>
            <m:r>
              <m:rPr>
                <m:sty m:val="p"/>
              </m:rPr>
              <m:t>(</m:t>
            </m:r>
            <m:r>
              <m:t>L</m:t>
            </m:r>
            <m:r>
              <m:rPr>
                <m:sty m:val="p"/>
              </m:rPr>
              <m:t>−</m:t>
            </m:r>
            <m:r>
              <m:t>1</m:t>
            </m:r>
            <m:r>
              <m:rPr>
                <m:sty m:val="p"/>
              </m:rPr>
              <m:t>)</m:t>
            </m:r>
            <m:r>
              <m:t>C</m:t>
            </m:r>
          </m:den>
        </m:f>
        <m:nary>
          <m:naryPr>
            <m:chr m:val="∑"/>
            <m:limLoc m:val="undOvr"/>
            <m:subHide m:val="off"/>
            <m:supHide m:val="off"/>
          </m:naryPr>
          <m:sub>
            <m:r>
              <m:t>t</m:t>
            </m:r>
            <m:r>
              <m:rPr>
                <m:sty m:val="p"/>
              </m:rPr>
              <m:t>=</m:t>
            </m:r>
            <m:r>
              <m:t>1</m:t>
            </m:r>
          </m:sub>
          <m:sup>
            <m:r>
              <m:t>L</m:t>
            </m:r>
            <m:r>
              <m:rPr>
                <m:sty m:val="p"/>
              </m:rPr>
              <m:t>−</m:t>
            </m:r>
            <m:r>
              <m:t>1</m:t>
            </m:r>
          </m:sup>
          <m:e>
            <m:nary>
              <m:naryPr>
                <m:chr m:val="∑"/>
                <m:limLoc m:val="undOvr"/>
                <m:subHide m:val="off"/>
                <m:supHide m:val="off"/>
              </m:naryPr>
              <m:sub>
                <m:r>
                  <m:t>c</m:t>
                </m:r>
                <m:r>
                  <m:rPr>
                    <m:sty m:val="p"/>
                  </m:rPr>
                  <m:t>=</m:t>
                </m:r>
                <m:r>
                  <m:t>1</m:t>
                </m:r>
              </m:sub>
              <m:sup>
                <m:r>
                  <m:t>C</m:t>
                </m:r>
              </m:sup>
              <m:e>
                <m:r>
                  <m:rPr>
                    <m:sty m:val="p"/>
                  </m:rPr>
                  <m:t>|</m:t>
                </m:r>
              </m:e>
            </m:nary>
          </m:e>
        </m:nary>
        <m:sSub>
          <m:e>
            <m:r>
              <m:t>X</m:t>
            </m:r>
          </m:e>
          <m:sub>
            <m:r>
              <m:t>n</m:t>
            </m:r>
            <m:r>
              <m:rPr>
                <m:sty m:val="p"/>
              </m:rPr>
              <m:t>,</m:t>
            </m:r>
            <m:r>
              <m:t>t</m:t>
            </m:r>
            <m:r>
              <m:rPr>
                <m:sty m:val="p"/>
              </m:rPr>
              <m:t>,</m:t>
            </m:r>
            <m:r>
              <m:t>c</m:t>
            </m:r>
          </m:sub>
        </m:sSub>
        <m:r>
          <m:rPr>
            <m:sty m:val="p"/>
          </m:rPr>
          <m:t>−</m:t>
        </m:r>
        <m:sSub>
          <m:e>
            <m:r>
              <m:t>X</m:t>
            </m:r>
          </m:e>
          <m:sub>
            <m:r>
              <m:t>n</m:t>
            </m:r>
            <m:r>
              <m:rPr>
                <m:sty m:val="p"/>
              </m:rPr>
              <m:t>,</m:t>
            </m:r>
            <m:r>
              <m:t>t</m:t>
            </m:r>
            <m:r>
              <m:rPr>
                <m:sty m:val="p"/>
              </m:rPr>
              <m:t>−</m:t>
            </m:r>
            <m:r>
              <m:t>1</m:t>
            </m:r>
            <m:r>
              <m:rPr>
                <m:sty m:val="p"/>
              </m:rPr>
              <m:t>,</m:t>
            </m:r>
            <m:r>
              <m:t>c</m:t>
            </m:r>
          </m:sub>
        </m:sSub>
        <m:r>
          <m:rPr>
            <m:sty m:val="p"/>
          </m:rPr>
          <m:t>|</m:t>
        </m:r>
        <m:r>
          <m:rPr>
            <m:sty m:val="p"/>
          </m:rPr>
          <m:t>.</m:t>
        </m:r>
      </m:oMath>
      <w:r w:rsidRPr="00B14FA3">
        <w:rPr>
          <w:rFonts w:ascii="Cambria Math" w:eastAsia="Cambria Math" w:hAnsi="Cambria Math"/>
          <w:kern w:val="0"/>
          <w:szCs w:val="20"/>
        </w:rPr>
        <w:tab/>
      </w:r>
      <w:r w:rsidRPr="00B14FA3">
        <w:rPr>
          <w:kern w:val="0"/>
          <w:szCs w:val="20"/>
        </w:rPr>
        <w:t>(10)</w:t>
      </w:r>
    </w:p>
    <w:p w14:paraId="4DAEC603" w14:textId="77777777" w:rsidR="00B14FA3" w:rsidRPr="00B14FA3" w:rsidRDefault="00B14FA3" w:rsidP="00B14FA3">
      <w:pPr>
        <w:spacing w:line="360" w:lineRule="auto"/>
      </w:pPr>
      <m:oMath>
        <m:sSub>
          <m:e>
            <m:r>
              <m:t>μ</m:t>
            </m:r>
          </m:e>
          <m:sub>
            <m:r>
              <m:t>n</m:t>
            </m:r>
          </m:sub>
        </m:sSub>
      </m:oMath>
      <w:r>
        <w:t>、</w:t>
      </w:r>
      <m:oMath>
        <m:sSub>
          <m:e>
            <m:r>
              <m:t>σ</m:t>
            </m:r>
          </m:e>
          <m:sub>
            <m:r>
              <m:t>n</m:t>
            </m:r>
          </m:sub>
        </m:sSub>
      </m:oMath>
      <w:r>
        <w:t>、</w:t>
      </w:r>
      <m:oMath>
        <m:sSub>
          <m:e>
            <m:r>
              <m:t>ℓ</m:t>
            </m:r>
          </m:e>
          <m:sub>
            <m:r>
              <m:t>n</m:t>
            </m:r>
          </m:sub>
        </m:sSub>
      </m:oMath>
      <w:r>
        <w:t>和</w:t>
      </w:r>
      <m:oMath>
        <m:sSub>
          <m:e>
            <m:r>
              <m:t>d</m:t>
            </m:r>
          </m:e>
          <m:sub>
            <m:r>
              <m:t>n</m:t>
            </m:r>
          </m:sub>
        </m:sSub>
      </m:oMath>
      <w:r>
        <w:t>分别描述输入窗口的总体水平、离散程度、最近状态和平均变化强度。</w:t>
      </w:r>
      <m:oMath>
        <m:sSub>
          <m:e>
            <m:r>
              <m:t>μ</m:t>
            </m:r>
          </m:e>
          <m:sub>
            <m:r>
              <m:t>n</m:t>
            </m:r>
          </m:sub>
        </m:sSub>
      </m:oMath>
      <w:r>
        <w:t>反映窗口整体流量水平，</w:t>
      </w:r>
      <m:oMath>
        <m:sSub>
          <m:e>
            <m:r>
              <m:t>σ</m:t>
            </m:r>
          </m:e>
          <m:sub>
            <m:r>
              <m:t>n</m:t>
            </m:r>
          </m:sub>
        </m:sSub>
      </m:oMath>
      <w:r>
        <w:t>刻画观测值的离散程度，</w:t>
      </w:r>
      <m:oMath>
        <m:sSub>
          <m:e>
            <m:r>
              <m:t>ℓ</m:t>
            </m:r>
          </m:e>
          <m:sub>
            <m:r>
              <m:t>n</m:t>
            </m:r>
          </m:sub>
        </m:sSub>
      </m:oMath>
      <w:r>
        <w:t>取窗口末时刻的平均状态，</w:t>
      </w:r>
      <m:oMath>
        <m:sSub>
          <m:e>
            <m:r>
              <m:t>d</m:t>
            </m:r>
          </m:e>
          <m:sub>
            <m:r>
              <m:t>n</m:t>
            </m:r>
          </m:sub>
        </m:sSub>
      </m:oMath>
      <w:r>
        <w:t>由相邻时间点的一阶变化得到。这4个统计量分别提供水平、波动、最近状态和局部变化信息，供路由器计算输入相关的尺度权重，而不直接参与未来流量数值的预测。</w:t>
      </w:r>
    </w:p>
    <w:p>
      <w:pPr/>
      <w:r>
        <w:t>两层感知器将四维统计向量映射为3个尺度的未归一化分数，隐藏层维数设为16。路由器只计算尺度融合分数，尺度专家承担完整OD流量的预测。低维统计量和较小隐藏层用于控制路由参数规模，计算中不额外引入循环网络、注意力网络等时序编码器。其尺度分数计算为</w:t>
      </w:r>
    </w:p>
    <w:p w14:paraId="44EF3E4D"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e>
            <m:r>
              <m:rPr>
                <m:sty m:val="b"/>
              </m:rPr>
              <m:t>a</m:t>
            </m:r>
          </m:e>
          <m:sub>
            <m:r>
              <m:t>n</m:t>
            </m:r>
          </m:sub>
        </m:sSub>
        <m:r>
          <m:rPr>
            <m:sty m:val="p"/>
          </m:rPr>
          <m:t>=</m:t>
        </m:r>
        <m:sSub>
          <m:e>
            <m:r>
              <m:rPr>
                <m:sty m:val="b"/>
              </m:rPr>
              <m:t>W</m:t>
            </m:r>
          </m:e>
          <m:sub>
            <m:r>
              <m:t>2</m:t>
            </m:r>
          </m:sub>
        </m:sSub>
        <m:r>
          <m:rPr>
            <m:sty m:val="p"/>
          </m:rPr>
          <m:t>ReLU</m:t>
        </m:r>
        <m:r>
          <m:rPr>
            <m:sty m:val="p"/>
          </m:rPr>
          <m:t>(</m:t>
        </m:r>
        <m:sSub>
          <m:e>
            <m:r>
              <m:rPr>
                <m:sty m:val="b"/>
              </m:rPr>
              <m:t>W</m:t>
            </m:r>
          </m:e>
          <m:sub>
            <m:r>
              <m:t>1</m:t>
            </m:r>
          </m:sub>
        </m:sSub>
        <m:sSub>
          <m:e>
            <m:r>
              <m:rPr>
                <m:sty m:val="b"/>
              </m:rPr>
              <m:t>z</m:t>
            </m:r>
          </m:e>
          <m:sub>
            <m:r>
              <m:t>n</m:t>
            </m:r>
          </m:sub>
        </m:sSub>
        <m:r>
          <m:rPr>
            <m:sty m:val="p"/>
          </m:rPr>
          <m:t>+</m:t>
        </m:r>
        <m:sSub>
          <m:e>
            <m:r>
              <m:rPr>
                <m:sty m:val="b"/>
              </m:rPr>
              <m:t>b</m:t>
            </m:r>
          </m:e>
          <m:sub>
            <m:r>
              <m:t>1</m:t>
            </m:r>
          </m:sub>
        </m:sSub>
        <m:r>
          <m:rPr>
            <m:sty m:val="p"/>
          </m:rPr>
          <m:t>)</m:t>
        </m:r>
        <m:r>
          <m:rPr>
            <m:sty m:val="p"/>
          </m:rPr>
          <m:t>+</m:t>
        </m:r>
        <m:sSub>
          <m:e>
            <m:r>
              <m:rPr>
                <m:sty m:val="b"/>
              </m:rPr>
              <m:t>b</m:t>
            </m:r>
          </m:e>
          <m:sub>
            <m:r>
              <m:t>2</m:t>
            </m:r>
          </m:sub>
        </m:sSub>
        <m:r>
          <m:rPr>
            <m:sty m:val="p"/>
          </m:rPr>
          <m:t>.</m:t>
        </m:r>
      </m:oMath>
      <w:r w:rsidRPr="00B14FA3">
        <w:rPr>
          <w:rFonts w:ascii="Cambria Math" w:eastAsia="Cambria Math" w:hAnsi="Cambria Math"/>
          <w:kern w:val="0"/>
          <w:szCs w:val="20"/>
        </w:rPr>
        <w:tab/>
      </w:r>
      <w:r w:rsidRPr="00B14FA3">
        <w:rPr>
          <w:kern w:val="0"/>
          <w:szCs w:val="20"/>
        </w:rPr>
        <w:t>(11)</w:t>
      </w:r>
    </w:p>
    <w:p w14:paraId="2935E851" w14:textId="77777777" w:rsidR="00B14FA3" w:rsidRPr="00B14FA3" w:rsidRDefault="00B14FA3" w:rsidP="00B14FA3">
      <w:pPr>
        <w:keepNext/>
        <w:keepLines/>
        <w:spacing w:line="360" w:lineRule="auto"/>
      </w:pPr>
      <w:r>
        <w:rPr>
          <w:szCs w:val="21"/>
        </w:rPr>
        <w:t>对式（11）的3个尺度分数作Softmax归一化，得到3个总和为1的非负权重；各专家在最终预测中的相对贡献由这些权重表示：</w:t>
      </w:r>
      <w:r w:rsidRPr="00B14FA3">
        <w:rPr>
          <w:szCs w:val="21"/>
        </w:rPr>
      </w:r>
      <w:r w:rsidRPr="00B14FA3">
        <w:rPr>
          <w:szCs w:val="21"/>
        </w:rPr>
      </w:r>
      <w:r w:rsidRPr="00B14FA3">
        <w:rPr>
          <w:szCs w:val="21"/>
        </w:rPr>
      </w:r>
      <w:r w:rsidRPr="00B14FA3">
        <w:rPr>
          <w:szCs w:val="21"/>
        </w:rPr>
      </w:r>
    </w:p>
    <w:p w14:paraId="141E24D3"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e>
            <m:r>
              <m:t>α</m:t>
            </m:r>
          </m:e>
          <m:sub>
            <m:r>
              <m:t>n</m:t>
            </m:r>
            <m:r>
              <m:rPr>
                <m:sty m:val="p"/>
              </m:rPr>
              <m:t>,</m:t>
            </m:r>
            <m:r>
              <m:t>s</m:t>
            </m:r>
          </m:sub>
        </m:sSub>
        <m:r>
          <m:rPr>
            <m:sty m:val="p"/>
          </m:rPr>
          <m:t>=</m:t>
        </m:r>
        <m:f>
          <m:fPr>
            <m:type m:val="bar"/>
          </m:fPr>
          <m:num>
            <m:r>
              <m:rPr>
                <m:sty m:val="p"/>
              </m:rPr>
              <m:t>exp</m:t>
            </m:r>
            <m:r>
              <m:rPr>
                <m:sty m:val="p"/>
              </m:rPr>
              <m:t>(</m:t>
            </m:r>
            <m:sSub>
              <m:e>
                <m:r>
                  <m:t>a</m:t>
                </m:r>
              </m:e>
              <m:sub>
                <m:r>
                  <m:t>n</m:t>
                </m:r>
                <m:r>
                  <m:rPr>
                    <m:sty m:val="p"/>
                  </m:rPr>
                  <m:t>,</m:t>
                </m:r>
                <m:r>
                  <m:t>s</m:t>
                </m:r>
              </m:sub>
            </m:sSub>
            <m:r>
              <m:rPr>
                <m:sty m:val="p"/>
              </m:rPr>
              <m:t>)</m:t>
            </m:r>
          </m:num>
          <m:den>
            <m:nary>
              <m:naryPr>
                <m:chr m:val="∑"/>
                <m:limLoc m:val="undOvr"/>
                <m:subHide m:val="off"/>
                <m:supHide m:val="on"/>
              </m:naryPr>
              <m:sub>
                <m:r>
                  <m:t>j</m:t>
                </m:r>
                <m:r>
                  <m:rPr>
                    <m:sty m:val="p"/>
                  </m:rPr>
                  <m:t>∈</m:t>
                </m:r>
                <m:r>
                  <m:t>S</m:t>
                </m:r>
              </m:sub>
              <m:sup>
                <m:r>
                  <m:t>​</m:t>
                </m:r>
              </m:sup>
              <m:e>
                <m:r>
                  <m:rPr>
                    <m:sty m:val="p"/>
                  </m:rPr>
                  <m:t>exp</m:t>
                </m:r>
              </m:e>
            </m:nary>
            <m:r>
              <m:rPr>
                <m:sty m:val="p"/>
              </m:rPr>
              <m:t>(</m:t>
            </m:r>
            <m:sSub>
              <m:e>
                <m:r>
                  <m:t>a</m:t>
                </m:r>
              </m:e>
              <m:sub>
                <m:r>
                  <m:t>n</m:t>
                </m:r>
                <m:r>
                  <m:rPr>
                    <m:sty m:val="p"/>
                  </m:rPr>
                  <m:t>,</m:t>
                </m:r>
                <m:r>
                  <m:t>j</m:t>
                </m:r>
              </m:sub>
            </m:sSub>
            <m:r>
              <m:rPr>
                <m:sty m:val="p"/>
              </m:rPr>
              <m:t>)</m:t>
            </m:r>
          </m:den>
        </m:f>
        <m:r>
          <m:rPr>
            <m:sty m:val="p"/>
          </m:rPr>
          <m:t>,</m:t>
        </m:r>
        <m:r>
          <m:t> </m:t>
        </m:r>
        <m:sSub>
          <m:e>
            <m:r>
              <m:t>α</m:t>
            </m:r>
          </m:e>
          <m:sub>
            <m:r>
              <m:t>n</m:t>
            </m:r>
            <m:r>
              <m:rPr>
                <m:sty m:val="p"/>
              </m:rPr>
              <m:t>,</m:t>
            </m:r>
            <m:r>
              <m:t>s</m:t>
            </m:r>
          </m:sub>
        </m:sSub>
        <m:r>
          <m:rPr>
            <m:sty m:val="p"/>
          </m:rPr>
          <m:t>≥</m:t>
        </m:r>
        <m:r>
          <m:t>0</m:t>
        </m:r>
        <m:r>
          <m:rPr>
            <m:sty m:val="p"/>
          </m:rPr>
          <m:t>,</m:t>
        </m:r>
        <m:r>
          <m:t> </m:t>
        </m:r>
        <m:nary>
          <m:naryPr>
            <m:chr m:val="∑"/>
            <m:limLoc m:val="undOvr"/>
            <m:subHide m:val="off"/>
            <m:supHide m:val="on"/>
          </m:naryPr>
          <m:sub>
            <m:r>
              <m:t>s</m:t>
            </m:r>
            <m:r>
              <m:rPr>
                <m:sty m:val="p"/>
              </m:rPr>
              <m:t>∈</m:t>
            </m:r>
            <m:r>
              <m:t>S</m:t>
            </m:r>
          </m:sub>
          <m:sup>
            <m:r>
              <m:t>​</m:t>
            </m:r>
          </m:sup>
          <m:e>
            <m:sSub>
              <m:e>
                <m:r>
                  <m:t>α</m:t>
                </m:r>
              </m:e>
              <m:sub>
                <m:r>
                  <m:t>n</m:t>
                </m:r>
                <m:r>
                  <m:rPr>
                    <m:sty m:val="p"/>
                  </m:rPr>
                  <m:t>,</m:t>
                </m:r>
                <m:r>
                  <m:t>s</m:t>
                </m:r>
              </m:sub>
            </m:sSub>
          </m:e>
        </m:nary>
        <m:r>
          <m:rPr>
            <m:sty m:val="p"/>
          </m:rPr>
          <m:t>=</m:t>
        </m:r>
        <m:r>
          <m:t>1</m:t>
        </m:r>
        <m:r>
          <m:rPr>
            <m:sty m:val="p"/>
          </m:rPr>
          <m:t>.</m:t>
        </m:r>
      </m:oMath>
      <w:r w:rsidRPr="00B14FA3">
        <w:rPr>
          <w:rFonts w:ascii="Cambria Math" w:eastAsia="Cambria Math" w:hAnsi="Cambria Math"/>
          <w:kern w:val="0"/>
          <w:szCs w:val="20"/>
        </w:rPr>
        <w:tab/>
      </w:r>
      <w:r w:rsidRPr="00B14FA3">
        <w:rPr>
          <w:kern w:val="0"/>
          <w:szCs w:val="20"/>
        </w:rPr>
        <w:t>(12)</w:t>
      </w:r>
    </w:p>
    <w:p w14:paraId="63776B5F" w14:textId="77777777" w:rsidR="00B14FA3" w:rsidRPr="00B14FA3" w:rsidRDefault="00B14FA3" w:rsidP="00B14FA3">
      <w:pPr>
        <w:spacing w:line="360" w:lineRule="auto"/>
      </w:pPr>
      <w:r w:rsidRPr="00B14FA3">
        <w:rPr>
          <w:szCs w:val="21"/>
        </w:rPr>
        <w:t>最终预测为</w:t>
      </w:r>
    </w:p>
    <w:p w14:paraId="775F089B"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e>
            <m:acc>
              <m:accPr>
                <m:chr m:val="̂"/>
              </m:accPr>
              <m:e>
                <m:r>
                  <m:rPr>
                    <m:sty m:val="b"/>
                  </m:rPr>
                  <m:t>Y</m:t>
                </m:r>
              </m:e>
            </m:acc>
          </m:e>
          <m:sub>
            <m:r>
              <m:t>n</m:t>
            </m:r>
          </m:sub>
        </m:sSub>
        <m:r>
          <m:rPr>
            <m:sty m:val="p"/>
          </m:rPr>
          <m:t>=</m:t>
        </m:r>
        <m:nary>
          <m:naryPr>
            <m:chr m:val="∑"/>
            <m:limLoc m:val="undOvr"/>
            <m:subHide m:val="off"/>
            <m:supHide m:val="on"/>
          </m:naryPr>
          <m:sub>
            <m:r>
              <m:t>s</m:t>
            </m:r>
            <m:r>
              <m:rPr>
                <m:sty m:val="p"/>
              </m:rPr>
              <m:t>∈</m:t>
            </m:r>
            <m:r>
              <m:t>S</m:t>
            </m:r>
          </m:sub>
          <m:sup>
            <m:r>
              <m:t>​</m:t>
            </m:r>
          </m:sup>
          <m:e>
            <m:sSub>
              <m:e>
                <m:r>
                  <m:t>α</m:t>
                </m:r>
              </m:e>
              <m:sub>
                <m:r>
                  <m:t>n</m:t>
                </m:r>
                <m:r>
                  <m:rPr>
                    <m:sty m:val="p"/>
                  </m:rPr>
                  <m:t>,</m:t>
                </m:r>
                <m:r>
                  <m:t>s</m:t>
                </m:r>
              </m:sub>
            </m:sSub>
          </m:e>
        </m:nary>
        <m:sSubSup>
          <m:e>
            <m:acc>
              <m:accPr>
                <m:chr m:val="̂"/>
              </m:accPr>
              <m:e>
                <m:r>
                  <m:rPr>
                    <m:sty m:val="b"/>
                  </m:rPr>
                  <m:t>Y</m:t>
                </m:r>
              </m:e>
            </m:acc>
          </m:e>
          <m:sub>
            <m:r>
              <m:t>n</m:t>
            </m:r>
          </m:sub>
          <m:sup>
            <m:r>
              <m:rPr>
                <m:sty m:val="p"/>
              </m:rPr>
              <m:t>(</m:t>
            </m:r>
            <m:r>
              <m:t>s</m:t>
            </m:r>
            <m:r>
              <m:rPr>
                <m:sty m:val="p"/>
              </m:rPr>
              <m:t>)</m:t>
            </m:r>
          </m:sup>
        </m:sSubSup>
        <m:r>
          <m:rPr>
            <m:sty m:val="p"/>
          </m:rPr>
          <m:t>.</m:t>
        </m:r>
      </m:oMath>
      <w:r w:rsidRPr="00B14FA3">
        <w:rPr>
          <w:rFonts w:ascii="Cambria Math" w:eastAsia="Cambria Math" w:hAnsi="Cambria Math"/>
          <w:kern w:val="0"/>
          <w:szCs w:val="20"/>
        </w:rPr>
        <w:tab/>
      </w:r>
      <w:r w:rsidRPr="00B14FA3">
        <w:rPr>
          <w:kern w:val="0"/>
          <w:szCs w:val="20"/>
        </w:rPr>
        <w:t>(13)</w:t>
      </w:r>
    </w:p>
    <w:p w14:paraId="13DA0E22" w14:textId="77777777" w:rsidR="00B14FA3" w:rsidRPr="00B14FA3" w:rsidRDefault="00B14FA3" w:rsidP="00B14FA3">
      <w:pPr>
        <w:widowControl/>
        <w:spacing w:line="360" w:lineRule="auto"/>
      </w:pPr>
      <w:r>
        <w:t>式（13）利用上述权重对3个DLinear专家的预测结果进行加权求和，得到最终预测</w:t>
      </w:r>
      <m:oMath>
        <m:sSub>
          <m:e>
            <m:acc>
              <m:accPr>
                <m:chr m:val="̂"/>
              </m:accPr>
              <m:e>
                <m:r>
                  <m:rPr>
                    <m:sty m:val="b"/>
                  </m:rPr>
                  <m:t>Y</m:t>
                </m:r>
              </m:e>
            </m:acc>
          </m:e>
          <m:sub>
            <m:r>
              <m:t>n</m:t>
            </m:r>
          </m:sub>
        </m:sSub>
      </m:oMath>
      <w:r>
        <w:t>。该组权重由输入窗口计算，并由同一窗口内的全部OD变量共享。</w:t>
      </w:r>
    </w:p>
    <w:p w14:paraId="2F5CF084" w14:textId="77777777" w:rsidR="00B14FA3" w:rsidRPr="00B14FA3" w:rsidRDefault="00B14FA3" w:rsidP="00B14FA3">
      <w:pPr>
        <w:keepNext/>
        <w:keepLines/>
        <w:spacing w:before="80" w:after="20" w:line="415" w:lineRule="auto"/>
        <w:ind w:firstLine="0"/>
        <w:jc w:val="left"/>
        <w:outlineLvl w:val="1"/>
        <w:rPr>
          <w:rFonts w:eastAsia="黑体"/>
          <w:b/>
          <w:bCs/>
          <w:szCs w:val="32"/>
        </w:rPr>
      </w:pPr>
      <w:r>
        <w:rPr>
          <w:rFonts w:eastAsia="黑体"/>
          <w:b/>
          <w:bCs/>
          <w:szCs w:val="21"/>
        </w:rPr>
        <w:t>1.4 模型训练与预测输出</w:t>
      </w:r>
      <w:r>
        <w:rPr>
          <w:rFonts w:eastAsia="黑体"/>
          <w:b/>
          <w:bCs/>
          <w:szCs w:val="21"/>
        </w:rPr>
      </w:r>
    </w:p>
    <w:p w14:paraId="1B83BA58" w14:textId="77777777" w:rsidR="00B14FA3" w:rsidRPr="00B14FA3" w:rsidRDefault="00B14FA3" w:rsidP="00B14FA3">
      <w:pPr>
        <w:keepNext/>
        <w:keepLines/>
        <w:spacing w:line="360" w:lineRule="auto"/>
      </w:pPr>
      <w:r w:rsidRPr="00B14FA3">
        <w:rPr>
          <w:szCs w:val="21"/>
        </w:rPr>
        <w:t>本文以均方误差训练模型。损失在训练样本、未来H个预测时刻以及全部C个OD变量上计算，覆盖不同预测步与不同OD维度的偏差。各项偏差在同一目标中汇总，用于模型参数更新。对应训练目标为</w:t>
      </w:r>
      <w:r w:rsidRPr="00B14FA3">
        <w:rPr>
          <w:szCs w:val="21"/>
        </w:rPr>
      </w:r>
      <w:r w:rsidRPr="00B14FA3">
        <w:rPr>
          <w:szCs w:val="21"/>
        </w:rPr>
      </w:r>
    </w:p>
    <w:p w14:paraId="279072E6"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e>
            <m:r>
              <m:rPr>
                <m:scr m:val="script"/>
                <m:sty m:val="p"/>
              </m:rPr>
              <m:t>L</m:t>
            </m:r>
          </m:e>
          <m:sub>
            <m:r>
              <m:rPr>
                <m:sty m:val="p"/>
              </m:rPr>
              <m:t>M</m:t>
            </m:r>
            <m:r>
              <m:rPr>
                <m:sty m:val="p"/>
              </m:rPr>
              <m:t>S</m:t>
            </m:r>
            <m:r>
              <m:rPr>
                <m:sty m:val="p"/>
              </m:rPr>
              <m:t>E</m:t>
            </m:r>
          </m:sub>
        </m:sSub>
        <m:r>
          <m:rPr>
            <m:sty m:val="p"/>
          </m:rPr>
          <m:t>=</m:t>
        </m:r>
        <m:f>
          <m:fPr>
            <m:type m:val="bar"/>
          </m:fPr>
          <m:num>
            <m:r>
              <m:t>1</m:t>
            </m:r>
          </m:num>
          <m:den>
            <m:r>
              <m:t>N</m:t>
            </m:r>
            <m:r>
              <m:t>H</m:t>
            </m:r>
            <m:r>
              <m:t>C</m:t>
            </m:r>
          </m:den>
        </m:f>
        <m:nary>
          <m:naryPr>
            <m:chr m:val="∑"/>
            <m:limLoc m:val="undOvr"/>
            <m:subHide m:val="off"/>
            <m:supHide m:val="off"/>
          </m:naryPr>
          <m:sub>
            <m:r>
              <m:t>n</m:t>
            </m:r>
            <m:r>
              <m:rPr>
                <m:sty m:val="p"/>
              </m:rPr>
              <m:t>=</m:t>
            </m:r>
            <m:r>
              <m:t>1</m:t>
            </m:r>
          </m:sub>
          <m:sup>
            <m:r>
              <m:t>N</m:t>
            </m:r>
          </m:sup>
          <m:e>
            <m:nary>
              <m:naryPr>
                <m:chr m:val="∑"/>
                <m:limLoc m:val="undOvr"/>
                <m:subHide m:val="off"/>
                <m:supHide m:val="off"/>
              </m:naryPr>
              <m:sub>
                <m:r>
                  <m:t>h</m:t>
                </m:r>
                <m:r>
                  <m:rPr>
                    <m:sty m:val="p"/>
                  </m:rPr>
                  <m:t>=</m:t>
                </m:r>
                <m:r>
                  <m:t>1</m:t>
                </m:r>
              </m:sub>
              <m:sup>
                <m:r>
                  <m:t>H</m:t>
                </m:r>
              </m:sup>
              <m:e>
                <m:nary>
                  <m:naryPr>
                    <m:chr m:val="∑"/>
                    <m:limLoc m:val="undOvr"/>
                    <m:subHide m:val="off"/>
                    <m:supHide m:val="off"/>
                  </m:naryPr>
                  <m:sub>
                    <m:r>
                      <m:t>c</m:t>
                    </m:r>
                    <m:r>
                      <m:rPr>
                        <m:sty m:val="p"/>
                      </m:rPr>
                      <m:t>=</m:t>
                    </m:r>
                    <m:r>
                      <m:t>1</m:t>
                    </m:r>
                  </m:sub>
                  <m:sup>
                    <m:r>
                      <m:t>C</m:t>
                    </m:r>
                  </m:sup>
                  <m:e>
                    <m:r>
                      <m:rPr>
                        <m:sty m:val="p"/>
                      </m:rPr>
                      <m:t>(</m:t>
                    </m:r>
                  </m:e>
                </m:nary>
              </m:e>
            </m:nary>
          </m:e>
        </m:nary>
        <m:sSub>
          <m:e>
            <m:r>
              <m:t>Y</m:t>
            </m:r>
          </m:e>
          <m:sub>
            <m:r>
              <m:t>n</m:t>
            </m:r>
            <m:r>
              <m:rPr>
                <m:sty m:val="p"/>
              </m:rPr>
              <m:t>,</m:t>
            </m:r>
            <m:r>
              <m:t>h</m:t>
            </m:r>
            <m:r>
              <m:rPr>
                <m:sty m:val="p"/>
              </m:rPr>
              <m:t>,</m:t>
            </m:r>
            <m:r>
              <m:t>c</m:t>
            </m:r>
          </m:sub>
        </m:sSub>
        <m:r>
          <m:rPr>
            <m:sty m:val="p"/>
          </m:rPr>
          <m:t>−</m:t>
        </m:r>
        <m:sSub>
          <m:e>
            <m:acc>
              <m:accPr>
                <m:chr m:val="̂"/>
              </m:accPr>
              <m:e>
                <m:r>
                  <m:t>Y</m:t>
                </m:r>
              </m:e>
            </m:acc>
          </m:e>
          <m:sub>
            <m:r>
              <m:t>n</m:t>
            </m:r>
            <m:r>
              <m:rPr>
                <m:sty m:val="p"/>
              </m:rPr>
              <m:t>,</m:t>
            </m:r>
            <m:r>
              <m:t>h</m:t>
            </m:r>
            <m:r>
              <m:rPr>
                <m:sty m:val="p"/>
              </m:rPr>
              <m:t>,</m:t>
            </m:r>
            <m:r>
              <m:t>c</m:t>
            </m:r>
          </m:sub>
        </m:sSub>
        <m:sSup>
          <m:e>
            <m:r>
              <m:rPr>
                <m:sty m:val="p"/>
              </m:rPr>
              <m:t>)</m:t>
            </m:r>
          </m:e>
          <m:sup>
            <m:r>
              <m:t>2</m:t>
            </m:r>
          </m:sup>
        </m:sSup>
        <m:r>
          <m:rPr>
            <m:sty m:val="p"/>
          </m:rPr>
          <m:t>.</m:t>
        </m:r>
      </m:oMath>
      <w:r w:rsidRPr="00B14FA3">
        <w:rPr>
          <w:rFonts w:ascii="Cambria Math" w:eastAsia="Cambria Math" w:hAnsi="Cambria Math"/>
          <w:kern w:val="0"/>
          <w:szCs w:val="20"/>
        </w:rPr>
        <w:tab/>
      </w:r>
      <w:r w:rsidRPr="00B14FA3">
        <w:rPr>
          <w:kern w:val="0"/>
          <w:szCs w:val="20"/>
        </w:rPr>
        <w:t>(14)</w:t>
      </w:r>
    </w:p>
    <w:p w14:paraId="6B94AC7B" w14:textId="77777777" w:rsidR="00B14FA3" w:rsidRPr="00B14FA3" w:rsidRDefault="00B14FA3" w:rsidP="00B14FA3">
      <w:pPr>
        <w:spacing w:line="360" w:lineRule="auto"/>
      </w:pPr>
      <w:r>
        <w:rPr>
          <w:szCs w:val="21"/>
        </w:rPr>
        <w:t>训练采用Adam优化器更新参数，并根据验证集MSE选择最终使用的模型。</w:t>
      </w:r>
      <w:r>
        <w:rPr>
          <w:szCs w:val="21"/>
        </w:rPr>
      </w:r>
      <w:r>
        <w:rPr>
          <w:szCs w:val="21"/>
        </w:rPr>
      </w:r>
      <w:r>
        <w:rPr>
          <w:szCs w:val="21"/>
        </w:rPr>
      </w:r>
      <w:r>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p>
    <w:p>
      <w:pPr>
        <w:widowControl/>
      </w:pPr>
      <w:r>
        <w:t>模型计算依次经过三个环节：平均池化把同一历史窗口转换为3个时间分辨率，DLinear专家分别给出候选预测，路由网络再根据原始窗口的4个统计量确定融合权重。后续实验据此设置单尺度DLinear、固定等权多尺度、全局可学习固定权重模型、恒定输入路由模型和本文方法，用同一组专家结构区分多尺度信息与样本级加权的作用。</w:t>
      </w:r>
    </w:p>
    <w:p>
      <w:pPr>
        <w:widowControl/>
      </w:pPr>
      <w:r>
        <w:t>推理时，将历史OD窗口按训练阶段确定的规则预处理，再经多尺度专家与路由融合得到未来多步预测。预测结果可作为后续网络需求分析的输入。</w:t>
      </w:r>
    </w:p>
    <w:p w14:paraId="41A9DD19" w14:textId="77777777" w:rsidR="00B14FA3" w:rsidRPr="00B14FA3" w:rsidRDefault="00B14FA3" w:rsidP="00B14FA3">
      <w:pPr>
        <w:keepNext/>
        <w:keepLines/>
        <w:spacing w:before="80" w:after="20"/>
        <w:ind w:firstLine="0"/>
        <w:jc w:val="left"/>
        <w:outlineLvl w:val="1"/>
        <w:rPr>
          <w:rFonts w:eastAsia="黑体"/>
          <w:b/>
          <w:bCs/>
          <w:szCs w:val="32"/>
        </w:rPr>
      </w:pPr>
      <w:r w:rsidRPr="00B14FA3">
        <w:rPr>
          <w:rFonts w:ascii="Arial" w:eastAsia="黑体" w:hAnsi="Arial"/>
          <w:b/>
          <w:bCs/>
          <w:color w:val="000000"/>
          <w:sz w:val="24"/>
          <w:szCs w:val="32"/>
        </w:rPr>
        <w:t xml:space="preserve">2 </w:t>
      </w:r>
      <w:r w:rsidRPr="00B14FA3">
        <w:rPr>
          <w:rFonts w:ascii="Arial" w:eastAsia="黑体" w:hAnsi="Arial"/>
          <w:b/>
          <w:bCs/>
          <w:color w:val="000000"/>
          <w:sz w:val="24"/>
          <w:szCs w:val="32"/>
        </w:rPr>
        <w:t>实验与结果分析</w:t>
      </w:r>
    </w:p>
    <w:p>
      <w:pPr/>
      <w:r>
        <w:t>实验分为外部基线比较、核心消融和路由行为分析三个层次。LightTS提供独立结构的外部基线，DLinear提供单尺度参照；固定等权、全局可学习常权重、恒定输入路由与样本级路由模型采用相同的三个尺度专家结构，并分别训练，分别比较多尺度结构、非等权融合与输入相关权重的表现；八个共同随机种子的配对结果和逐种子权重分析用于评估结果波动。</w:t>
      </w:r>
    </w:p>
    <w:p w14:paraId="2C93F002"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 xml:space="preserve">2.1 </w:t>
      </w:r>
      <w:r>
        <w:rPr>
          <w:rFonts w:ascii="Arial" w:eastAsia="黑体" w:hAnsi="Arial"/>
          <w:b/>
          <w:bCs/>
          <w:color w:val="000000"/>
          <w:szCs w:val="21"/>
        </w:rPr>
        <w:t>数据集与实验设置</w:t>
      </w:r>
    </w:p>
    <w:p w14:paraId="426B5418" w14:textId="77777777" w:rsidR="00B14FA3" w:rsidRPr="00B14FA3" w:rsidRDefault="00B14FA3" w:rsidP="00B14FA3">
      <w:r>
        <w:rPr>
          <w:color w:val="000000"/>
          <w:szCs w:val="21"/>
        </w:rPr>
        <w:t>数据取自CESNET TS-Zoo[9]，包括按1 h聚合的Abilene[10]与GÉANT[11]骨干网流量矩阵。Abilene共有4656个时间点，保留144维有效OD流量；GÉANT共有2849个时间点，去除恒定通道后保留524维有效OD流量。两套数据的序列长度和变量规模不同，分别运行相同预测流程，以观察这些数据条件下的表现。沿原序列的时间顺序划分训练集、验证集和测试集，比例为6∶2∶2。输入长度统一设为L=96，预测长度统一设为H=24。预处理按第1.1节执行，数据规模及窗口数量见表1。</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2A85EE9E" w14:textId="77777777" w:rsidR="00B14FA3" w:rsidRPr="00B14FA3" w:rsidRDefault="00B14FA3" w:rsidP="00B14FA3">
      <w:pPr>
        <w:keepNext/>
        <w:spacing w:before="60" w:after="40"/>
        <w:ind w:firstLine="0"/>
        <w:jc w:val="center"/>
      </w:pPr>
      <w:r>
        <w:rPr>
          <w:rFonts w:eastAsia="黑体"/>
          <w:b/>
          <w:color w:val="000000"/>
          <w:sz w:val="18"/>
        </w:rPr>
        <w:t>表</w:t>
      </w:r>
      <w:r>
        <w:rPr>
          <w:rFonts w:eastAsia="黑体"/>
          <w:b/>
          <w:color w:val="000000"/>
          <w:sz w:val="18"/>
        </w:rPr>
        <w:t xml:space="preserve">1 </w:t>
      </w:r>
      <w:r>
        <w:rPr>
          <w:rFonts w:eastAsia="黑体"/>
          <w:b/>
          <w:color w:val="000000"/>
          <w:sz w:val="18"/>
        </w:rPr>
        <w:t>数据集与预测任务设置</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200"/>
        <w:gridCol w:w="1100"/>
        <w:gridCol w:w="1100"/>
        <w:gridCol w:w="2300"/>
        <w:gridCol w:w="2300"/>
        <w:gridCol w:w="1000"/>
      </w:tblGrid>
      <w:tr w:rsidR="00B10182" w14:paraId="4EA6D132" w14:textId="77777777">
        <w:trPr>
          <w:cantSplit/>
          <w:tblHeader/>
          <w:jc w:val="center"/>
        </w:trPr>
        <w:tc>
          <w:tcPr>
            <w:tcW w:w="1200" w:type="dxa"/>
            <w:tcBorders>
              <w:bottom w:val="single" w:sz="8" w:space="0" w:color="000000"/>
            </w:tcBorders>
            <w:tcMar>
              <w:top w:w="55" w:type="dxa"/>
              <w:left w:w="70" w:type="dxa"/>
              <w:bottom w:w="55" w:type="dxa"/>
              <w:right w:w="70" w:type="dxa"/>
            </w:tcMar>
            <w:vAlign w:val="center"/>
            <w:hideMark/>
          </w:tcPr>
          <w:p w14:paraId="6F1FEB54" w14:textId="77777777" w:rsidR="00B14FA3" w:rsidRPr="00B14FA3" w:rsidRDefault="00B14FA3" w:rsidP="00B14FA3">
            <w:pPr>
              <w:keepNext/>
              <w:ind w:firstLine="0"/>
              <w:jc w:val="center"/>
            </w:pPr>
            <w:r>
              <w:rPr>
                <w:b/>
                <w:color w:val="000000"/>
                <w:szCs w:val="21"/>
              </w:rPr>
              <w:t>数据集</w:t>
            </w:r>
          </w:p>
        </w:tc>
        <w:tc>
          <w:tcPr>
            <w:tcW w:w="1100" w:type="dxa"/>
            <w:tcBorders>
              <w:bottom w:val="single" w:sz="8" w:space="0" w:color="000000"/>
            </w:tcBorders>
            <w:tcMar>
              <w:top w:w="55" w:type="dxa"/>
              <w:left w:w="70" w:type="dxa"/>
              <w:bottom w:w="55" w:type="dxa"/>
              <w:right w:w="70" w:type="dxa"/>
            </w:tcMar>
            <w:vAlign w:val="center"/>
            <w:hideMark/>
          </w:tcPr>
          <w:p w14:paraId="3693DDBE" w14:textId="77777777" w:rsidR="00B14FA3" w:rsidRPr="00B14FA3" w:rsidRDefault="00B14FA3" w:rsidP="00B14FA3">
            <w:pPr>
              <w:keepNext/>
              <w:ind w:firstLine="0"/>
              <w:jc w:val="center"/>
            </w:pPr>
            <w:r>
              <w:rPr>
                <w:b/>
                <w:color w:val="000000"/>
                <w:szCs w:val="21"/>
              </w:rPr>
              <w:t>时间点</w:t>
            </w:r>
          </w:p>
        </w:tc>
        <w:tc>
          <w:tcPr>
            <w:tcW w:w="1100" w:type="dxa"/>
            <w:tcBorders>
              <w:bottom w:val="single" w:sz="8" w:space="0" w:color="000000"/>
            </w:tcBorders>
            <w:tcMar>
              <w:top w:w="55" w:type="dxa"/>
              <w:left w:w="70" w:type="dxa"/>
              <w:bottom w:w="55" w:type="dxa"/>
              <w:right w:w="70" w:type="dxa"/>
            </w:tcMar>
            <w:vAlign w:val="center"/>
            <w:hideMark/>
          </w:tcPr>
          <w:p w14:paraId="61AE8EF9" w14:textId="77777777" w:rsidR="00B14FA3" w:rsidRPr="00B14FA3" w:rsidRDefault="00B14FA3" w:rsidP="00B14FA3">
            <w:pPr>
              <w:keepNext/>
              <w:ind w:firstLine="0"/>
              <w:jc w:val="center"/>
            </w:pPr>
            <w:r>
              <w:rPr>
                <w:b/>
                <w:color w:val="000000"/>
                <w:szCs w:val="21"/>
              </w:rPr>
              <w:t>有效变量</w:t>
            </w:r>
            <w:r>
              <w:rPr>
                <w:b/>
                <w:color w:val="000000"/>
                <w:szCs w:val="21"/>
              </w:rPr>
              <w:t>C</w:t>
            </w:r>
          </w:p>
        </w:tc>
        <w:tc>
          <w:tcPr>
            <w:tcW w:w="2300" w:type="dxa"/>
            <w:tcBorders>
              <w:bottom w:val="single" w:sz="8" w:space="0" w:color="000000"/>
            </w:tcBorders>
            <w:tcMar>
              <w:top w:w="55" w:type="dxa"/>
              <w:left w:w="70" w:type="dxa"/>
              <w:bottom w:w="55" w:type="dxa"/>
              <w:right w:w="70" w:type="dxa"/>
            </w:tcMar>
            <w:vAlign w:val="center"/>
            <w:hideMark/>
          </w:tcPr>
          <w:p w14:paraId="00AFD535" w14:textId="77777777" w:rsidR="00B14FA3" w:rsidRPr="00B14FA3" w:rsidRDefault="00B14FA3" w:rsidP="00B14FA3">
            <w:pPr>
              <w:keepNext/>
              <w:ind w:firstLine="0"/>
              <w:jc w:val="center"/>
            </w:pPr>
            <w:r>
              <w:rPr>
                <w:b/>
                <w:color w:val="000000"/>
                <w:szCs w:val="21"/>
              </w:rPr>
              <w:t>训练</w:t>
            </w:r>
            <w:r>
              <w:rPr>
                <w:b/>
                <w:color w:val="000000"/>
                <w:szCs w:val="21"/>
              </w:rPr>
              <w:t>/</w:t>
            </w:r>
            <w:r>
              <w:rPr>
                <w:b/>
                <w:color w:val="000000"/>
                <w:szCs w:val="21"/>
              </w:rPr>
              <w:t>验证</w:t>
            </w:r>
            <w:r>
              <w:rPr>
                <w:b/>
                <w:color w:val="000000"/>
                <w:szCs w:val="21"/>
              </w:rPr>
              <w:t>/</w:t>
            </w:r>
            <w:r>
              <w:rPr>
                <w:b/>
                <w:color w:val="000000"/>
                <w:szCs w:val="21"/>
              </w:rPr>
              <w:t>测试时间点</w:t>
            </w:r>
          </w:p>
        </w:tc>
        <w:tc>
          <w:tcPr>
            <w:tcW w:w="2300" w:type="dxa"/>
            <w:tcBorders>
              <w:bottom w:val="single" w:sz="8" w:space="0" w:color="000000"/>
            </w:tcBorders>
            <w:tcMar>
              <w:top w:w="55" w:type="dxa"/>
              <w:left w:w="70" w:type="dxa"/>
              <w:bottom w:w="55" w:type="dxa"/>
              <w:right w:w="70" w:type="dxa"/>
            </w:tcMar>
            <w:vAlign w:val="center"/>
            <w:hideMark/>
          </w:tcPr>
          <w:p w14:paraId="7492F132" w14:textId="77777777" w:rsidR="00B14FA3" w:rsidRPr="00B14FA3" w:rsidRDefault="00B14FA3" w:rsidP="00B14FA3">
            <w:pPr>
              <w:keepNext/>
              <w:ind w:firstLine="0"/>
              <w:jc w:val="center"/>
            </w:pPr>
            <w:r>
              <w:rPr>
                <w:b/>
                <w:color w:val="000000"/>
                <w:szCs w:val="21"/>
              </w:rPr>
              <w:t>训练</w:t>
            </w:r>
            <w:r>
              <w:rPr>
                <w:b/>
                <w:color w:val="000000"/>
                <w:szCs w:val="21"/>
              </w:rPr>
              <w:t>/</w:t>
            </w:r>
            <w:r>
              <w:rPr>
                <w:b/>
                <w:color w:val="000000"/>
                <w:szCs w:val="21"/>
              </w:rPr>
              <w:t>验证</w:t>
            </w:r>
            <w:r>
              <w:rPr>
                <w:b/>
                <w:color w:val="000000"/>
                <w:szCs w:val="21"/>
              </w:rPr>
              <w:t>/</w:t>
            </w:r>
            <w:r>
              <w:rPr>
                <w:b/>
                <w:color w:val="000000"/>
                <w:szCs w:val="21"/>
              </w:rPr>
              <w:t>测试窗口</w:t>
            </w:r>
          </w:p>
        </w:tc>
        <w:tc>
          <w:tcPr>
            <w:tcW w:w="1000" w:type="dxa"/>
            <w:tcBorders>
              <w:bottom w:val="single" w:sz="8" w:space="0" w:color="000000"/>
            </w:tcBorders>
            <w:tcMar>
              <w:top w:w="55" w:type="dxa"/>
              <w:left w:w="70" w:type="dxa"/>
              <w:bottom w:w="55" w:type="dxa"/>
              <w:right w:w="70" w:type="dxa"/>
            </w:tcMar>
            <w:vAlign w:val="center"/>
            <w:hideMark/>
          </w:tcPr>
          <w:p w14:paraId="443C0C0B" w14:textId="77777777" w:rsidR="00B14FA3" w:rsidRPr="00B14FA3" w:rsidRDefault="00B14FA3" w:rsidP="00B14FA3">
            <w:pPr>
              <w:keepNext/>
              <w:ind w:firstLine="0"/>
              <w:jc w:val="center"/>
            </w:pPr>
            <w:r>
              <w:rPr>
                <w:b/>
                <w:color w:val="000000"/>
                <w:szCs w:val="21"/>
              </w:rPr>
              <w:t>L/H</w:t>
            </w:r>
          </w:p>
        </w:tc>
      </w:tr>
      <w:tr w:rsidR="00B10182" w14:paraId="60662C3F" w14:textId="77777777">
        <w:trPr>
          <w:cantSplit/>
          <w:jc w:val="center"/>
        </w:trPr>
        <w:tc>
          <w:tcPr>
            <w:tcW w:w="1200" w:type="dxa"/>
            <w:tcBorders>
              <w:top w:val="nil"/>
              <w:left w:val="nil"/>
              <w:bottom w:val="nil"/>
              <w:right w:val="nil"/>
            </w:tcBorders>
            <w:tcMar>
              <w:top w:w="55" w:type="dxa"/>
              <w:left w:w="70" w:type="dxa"/>
              <w:bottom w:w="55" w:type="dxa"/>
              <w:right w:w="70" w:type="dxa"/>
            </w:tcMar>
            <w:vAlign w:val="center"/>
            <w:hideMark/>
          </w:tcPr>
          <w:p w14:paraId="70B444C7" w14:textId="77777777" w:rsidR="00B14FA3" w:rsidRPr="00B14FA3" w:rsidRDefault="00B14FA3" w:rsidP="00B14FA3">
            <w:pPr>
              <w:keepNext/>
              <w:ind w:firstLine="0"/>
              <w:jc w:val="left"/>
            </w:pPr>
            <w:r>
              <w:rPr>
                <w:color w:val="000000"/>
                <w:szCs w:val="21"/>
              </w:rPr>
              <w:t>Abilene</w:t>
            </w:r>
          </w:p>
        </w:tc>
        <w:tc>
          <w:tcPr>
            <w:tcW w:w="1100" w:type="dxa"/>
            <w:tcBorders>
              <w:top w:val="nil"/>
              <w:left w:val="nil"/>
              <w:bottom w:val="nil"/>
              <w:right w:val="nil"/>
            </w:tcBorders>
            <w:tcMar>
              <w:top w:w="55" w:type="dxa"/>
              <w:left w:w="70" w:type="dxa"/>
              <w:bottom w:w="55" w:type="dxa"/>
              <w:right w:w="70" w:type="dxa"/>
            </w:tcMar>
            <w:vAlign w:val="center"/>
            <w:hideMark/>
          </w:tcPr>
          <w:p w14:paraId="4EBF696C" w14:textId="77777777" w:rsidR="00B14FA3" w:rsidRPr="00B14FA3" w:rsidRDefault="00B14FA3" w:rsidP="00B14FA3">
            <w:pPr>
              <w:keepNext/>
              <w:ind w:firstLine="0"/>
              <w:jc w:val="left"/>
            </w:pPr>
            <w:r>
              <w:rPr>
                <w:color w:val="000000"/>
                <w:szCs w:val="21"/>
              </w:rPr>
              <w:t>4656</w:t>
            </w:r>
          </w:p>
        </w:tc>
        <w:tc>
          <w:tcPr>
            <w:tcW w:w="1100" w:type="dxa"/>
            <w:tcBorders>
              <w:top w:val="nil"/>
              <w:left w:val="nil"/>
              <w:bottom w:val="nil"/>
              <w:right w:val="nil"/>
            </w:tcBorders>
            <w:tcMar>
              <w:top w:w="55" w:type="dxa"/>
              <w:left w:w="70" w:type="dxa"/>
              <w:bottom w:w="55" w:type="dxa"/>
              <w:right w:w="70" w:type="dxa"/>
            </w:tcMar>
            <w:vAlign w:val="center"/>
            <w:hideMark/>
          </w:tcPr>
          <w:p w14:paraId="203C3A10" w14:textId="77777777" w:rsidR="00B14FA3" w:rsidRPr="00B14FA3" w:rsidRDefault="00B14FA3" w:rsidP="00B14FA3">
            <w:pPr>
              <w:keepNext/>
              <w:ind w:firstLine="0"/>
              <w:jc w:val="left"/>
            </w:pPr>
            <w:r>
              <w:rPr>
                <w:color w:val="000000"/>
                <w:szCs w:val="21"/>
              </w:rPr>
              <w:t>144</w:t>
            </w:r>
          </w:p>
        </w:tc>
        <w:tc>
          <w:tcPr>
            <w:tcW w:w="2300" w:type="dxa"/>
            <w:tcBorders>
              <w:top w:val="nil"/>
              <w:left w:val="nil"/>
              <w:bottom w:val="nil"/>
              <w:right w:val="nil"/>
            </w:tcBorders>
            <w:tcMar>
              <w:top w:w="55" w:type="dxa"/>
              <w:left w:w="70" w:type="dxa"/>
              <w:bottom w:w="55" w:type="dxa"/>
              <w:right w:w="70" w:type="dxa"/>
            </w:tcMar>
            <w:vAlign w:val="center"/>
            <w:hideMark/>
          </w:tcPr>
          <w:p w14:paraId="418C4BE2" w14:textId="77777777" w:rsidR="00B14FA3" w:rsidRPr="00B14FA3" w:rsidRDefault="00B14FA3" w:rsidP="00B14FA3">
            <w:pPr>
              <w:keepNext/>
              <w:ind w:firstLine="0"/>
              <w:jc w:val="left"/>
            </w:pPr>
            <w:r>
              <w:rPr>
                <w:color w:val="000000"/>
                <w:szCs w:val="21"/>
              </w:rPr>
              <w:t>2793/931/932</w:t>
            </w:r>
          </w:p>
        </w:tc>
        <w:tc>
          <w:tcPr>
            <w:tcW w:w="2300" w:type="dxa"/>
            <w:tcBorders>
              <w:top w:val="nil"/>
              <w:left w:val="nil"/>
              <w:bottom w:val="nil"/>
              <w:right w:val="nil"/>
            </w:tcBorders>
            <w:tcMar>
              <w:top w:w="55" w:type="dxa"/>
              <w:left w:w="70" w:type="dxa"/>
              <w:bottom w:w="55" w:type="dxa"/>
              <w:right w:w="70" w:type="dxa"/>
            </w:tcMar>
            <w:vAlign w:val="center"/>
            <w:hideMark/>
          </w:tcPr>
          <w:p w14:paraId="3E47EF4C" w14:textId="77777777" w:rsidR="00B14FA3" w:rsidRPr="00B14FA3" w:rsidRDefault="00B14FA3" w:rsidP="00B14FA3">
            <w:pPr>
              <w:keepNext/>
              <w:ind w:firstLine="0"/>
              <w:jc w:val="left"/>
            </w:pPr>
            <w:r>
              <w:rPr>
                <w:color w:val="000000"/>
                <w:szCs w:val="21"/>
              </w:rPr>
              <w:t>2674/812/813</w:t>
            </w:r>
          </w:p>
        </w:tc>
        <w:tc>
          <w:tcPr>
            <w:tcW w:w="1000" w:type="dxa"/>
            <w:tcBorders>
              <w:top w:val="nil"/>
              <w:left w:val="nil"/>
              <w:bottom w:val="nil"/>
              <w:right w:val="nil"/>
            </w:tcBorders>
            <w:tcMar>
              <w:top w:w="55" w:type="dxa"/>
              <w:left w:w="70" w:type="dxa"/>
              <w:bottom w:w="55" w:type="dxa"/>
              <w:right w:w="70" w:type="dxa"/>
            </w:tcMar>
            <w:vAlign w:val="center"/>
            <w:hideMark/>
          </w:tcPr>
          <w:p w14:paraId="68B41A69" w14:textId="77777777" w:rsidR="00B14FA3" w:rsidRPr="00B14FA3" w:rsidRDefault="00B14FA3" w:rsidP="00B14FA3">
            <w:pPr>
              <w:keepNext/>
              <w:ind w:firstLine="0"/>
              <w:jc w:val="left"/>
            </w:pPr>
            <w:r>
              <w:rPr>
                <w:color w:val="000000"/>
                <w:szCs w:val="21"/>
              </w:rPr>
              <w:t>96/24</w:t>
            </w:r>
          </w:p>
        </w:tc>
      </w:tr>
      <w:tr w:rsidR="00B10182" w14:paraId="026887DD" w14:textId="77777777">
        <w:trPr>
          <w:cantSplit/>
          <w:jc w:val="center"/>
        </w:trPr>
        <w:tc>
          <w:tcPr>
            <w:tcW w:w="1200" w:type="dxa"/>
            <w:tcBorders>
              <w:top w:val="nil"/>
              <w:left w:val="nil"/>
              <w:bottom w:val="nil"/>
              <w:right w:val="nil"/>
            </w:tcBorders>
            <w:tcMar>
              <w:top w:w="55" w:type="dxa"/>
              <w:left w:w="70" w:type="dxa"/>
              <w:bottom w:w="55" w:type="dxa"/>
              <w:right w:w="70" w:type="dxa"/>
            </w:tcMar>
            <w:vAlign w:val="center"/>
            <w:hideMark/>
          </w:tcPr>
          <w:p w14:paraId="4ABC61A0" w14:textId="77777777" w:rsidR="00B14FA3" w:rsidRPr="00B14FA3" w:rsidRDefault="00B14FA3" w:rsidP="00B14FA3">
            <w:pPr>
              <w:keepNext/>
              <w:ind w:firstLine="0"/>
              <w:jc w:val="left"/>
            </w:pPr>
            <w:r>
              <w:rPr>
                <w:color w:val="000000"/>
                <w:szCs w:val="21"/>
              </w:rPr>
              <w:t>GÉANT</w:t>
            </w:r>
          </w:p>
        </w:tc>
        <w:tc>
          <w:tcPr>
            <w:tcW w:w="1100" w:type="dxa"/>
            <w:tcBorders>
              <w:top w:val="nil"/>
              <w:left w:val="nil"/>
              <w:bottom w:val="nil"/>
              <w:right w:val="nil"/>
            </w:tcBorders>
            <w:tcMar>
              <w:top w:w="55" w:type="dxa"/>
              <w:left w:w="70" w:type="dxa"/>
              <w:bottom w:w="55" w:type="dxa"/>
              <w:right w:w="70" w:type="dxa"/>
            </w:tcMar>
            <w:vAlign w:val="center"/>
            <w:hideMark/>
          </w:tcPr>
          <w:p w14:paraId="37FA10D1" w14:textId="77777777" w:rsidR="00B14FA3" w:rsidRPr="00B14FA3" w:rsidRDefault="00B14FA3" w:rsidP="00B14FA3">
            <w:pPr>
              <w:keepNext/>
              <w:ind w:firstLine="0"/>
              <w:jc w:val="left"/>
            </w:pPr>
            <w:r>
              <w:rPr>
                <w:color w:val="000000"/>
                <w:szCs w:val="21"/>
              </w:rPr>
              <w:t>2849</w:t>
            </w:r>
          </w:p>
        </w:tc>
        <w:tc>
          <w:tcPr>
            <w:tcW w:w="1100" w:type="dxa"/>
            <w:tcBorders>
              <w:top w:val="nil"/>
              <w:left w:val="nil"/>
              <w:bottom w:val="nil"/>
              <w:right w:val="nil"/>
            </w:tcBorders>
            <w:tcMar>
              <w:top w:w="55" w:type="dxa"/>
              <w:left w:w="70" w:type="dxa"/>
              <w:bottom w:w="55" w:type="dxa"/>
              <w:right w:w="70" w:type="dxa"/>
            </w:tcMar>
            <w:vAlign w:val="center"/>
            <w:hideMark/>
          </w:tcPr>
          <w:p w14:paraId="0F63E5AA" w14:textId="77777777" w:rsidR="00B14FA3" w:rsidRPr="00B14FA3" w:rsidRDefault="00B14FA3" w:rsidP="00B14FA3">
            <w:pPr>
              <w:keepNext/>
              <w:ind w:firstLine="0"/>
              <w:jc w:val="left"/>
            </w:pPr>
            <w:r>
              <w:rPr>
                <w:color w:val="000000"/>
                <w:szCs w:val="21"/>
              </w:rPr>
              <w:t>524</w:t>
            </w:r>
          </w:p>
        </w:tc>
        <w:tc>
          <w:tcPr>
            <w:tcW w:w="2300" w:type="dxa"/>
            <w:tcBorders>
              <w:top w:val="nil"/>
              <w:left w:val="nil"/>
              <w:bottom w:val="nil"/>
              <w:right w:val="nil"/>
            </w:tcBorders>
            <w:tcMar>
              <w:top w:w="55" w:type="dxa"/>
              <w:left w:w="70" w:type="dxa"/>
              <w:bottom w:w="55" w:type="dxa"/>
              <w:right w:w="70" w:type="dxa"/>
            </w:tcMar>
            <w:vAlign w:val="center"/>
            <w:hideMark/>
          </w:tcPr>
          <w:p w14:paraId="066E6608" w14:textId="77777777" w:rsidR="00B14FA3" w:rsidRPr="00B14FA3" w:rsidRDefault="00B14FA3" w:rsidP="00B14FA3">
            <w:pPr>
              <w:keepNext/>
              <w:ind w:firstLine="0"/>
              <w:jc w:val="left"/>
            </w:pPr>
            <w:r>
              <w:rPr>
                <w:color w:val="000000"/>
                <w:szCs w:val="21"/>
              </w:rPr>
              <w:t>1709/570/570</w:t>
            </w:r>
          </w:p>
        </w:tc>
        <w:tc>
          <w:tcPr>
            <w:tcW w:w="2300" w:type="dxa"/>
            <w:tcBorders>
              <w:top w:val="nil"/>
              <w:left w:val="nil"/>
              <w:bottom w:val="nil"/>
              <w:right w:val="nil"/>
            </w:tcBorders>
            <w:tcMar>
              <w:top w:w="55" w:type="dxa"/>
              <w:left w:w="70" w:type="dxa"/>
              <w:bottom w:w="55" w:type="dxa"/>
              <w:right w:w="70" w:type="dxa"/>
            </w:tcMar>
            <w:vAlign w:val="center"/>
            <w:hideMark/>
          </w:tcPr>
          <w:p w14:paraId="544CE805" w14:textId="77777777" w:rsidR="00B14FA3" w:rsidRPr="00B14FA3" w:rsidRDefault="00B14FA3" w:rsidP="00B14FA3">
            <w:pPr>
              <w:keepNext/>
              <w:ind w:firstLine="0"/>
              <w:jc w:val="left"/>
            </w:pPr>
            <w:r>
              <w:rPr>
                <w:color w:val="000000"/>
                <w:szCs w:val="21"/>
              </w:rPr>
              <w:t>1590/451/451</w:t>
            </w:r>
          </w:p>
        </w:tc>
        <w:tc>
          <w:tcPr>
            <w:tcW w:w="1000" w:type="dxa"/>
            <w:tcBorders>
              <w:top w:val="nil"/>
              <w:left w:val="nil"/>
              <w:bottom w:val="nil"/>
              <w:right w:val="nil"/>
            </w:tcBorders>
            <w:tcMar>
              <w:top w:w="55" w:type="dxa"/>
              <w:left w:w="70" w:type="dxa"/>
              <w:bottom w:w="55" w:type="dxa"/>
              <w:right w:w="70" w:type="dxa"/>
            </w:tcMar>
            <w:vAlign w:val="center"/>
            <w:hideMark/>
          </w:tcPr>
          <w:p w14:paraId="256DDA9D" w14:textId="77777777" w:rsidR="00B14FA3" w:rsidRPr="00B14FA3" w:rsidRDefault="00B14FA3" w:rsidP="00B14FA3">
            <w:pPr>
              <w:keepNext/>
              <w:ind w:firstLine="0"/>
              <w:jc w:val="left"/>
            </w:pPr>
            <w:r>
              <w:rPr>
                <w:color w:val="000000"/>
                <w:szCs w:val="21"/>
              </w:rPr>
              <w:t>96/24</w:t>
            </w:r>
          </w:p>
        </w:tc>
      </w:tr>
    </w:tbl>
    <w:p w14:paraId="7F30E00E" w14:textId="77777777" w:rsidR="00B14FA3" w:rsidRPr="00B14FA3" w:rsidRDefault="00B14FA3" w:rsidP="00B14FA3">
      <w:r>
        <w:rPr>
          <w:color w:val="000000"/>
          <w:szCs w:val="21"/>
        </w:rPr>
        <w:t>所有对比模型使用相同的数据划分、输入长度、预测长度、评价指标和批量大小，batch size统一为16。为控制数据与训练条件，实验未分别搜索各模型的最优超参数。DLinear、固定等权多尺度、全局可学习权重、恒定输入路由和本文方法最多训练30轮，LightTS最多训练50轮；均根据验证集MSE选择测试所用参数，测试集仅用于最终统计。</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pPr>
        <w:widowControl/>
      </w:pPr>
      <w:r>
        <w:t>外部基线比较使用随机种子42～44共3个共同随机种子。核心消融使用随机种子42～49共8个共同随机种子，比较DLinear、固定等权多尺度、全局可学习权重、恒定输入路由和本文方法。全局权重由等权初始化，恒定输入路由对所有窗口使用全零路由输入；两者均与三个专家一同训练，并按相同验证集准则选择模型；随机种子作为配对统计单位。</w:t>
      </w:r>
    </w:p>
    <w:p w14:paraId="111070D4"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 xml:space="preserve">2.2 </w:t>
      </w:r>
      <w:r>
        <w:rPr>
          <w:rFonts w:ascii="Arial" w:eastAsia="黑体" w:hAnsi="Arial"/>
          <w:b/>
          <w:bCs/>
          <w:color w:val="000000"/>
          <w:szCs w:val="21"/>
        </w:rPr>
        <w:t>对比模型与评价指标</w:t>
      </w:r>
    </w:p>
    <w:p w14:paraId="3EC5233F" w14:textId="77777777" w:rsidR="00B14FA3" w:rsidRPr="00B14FA3" w:rsidRDefault="00B14FA3" w:rsidP="00B14FA3">
      <w:r>
        <w:rPr>
          <w:color w:val="000000"/>
          <w:szCs w:val="21"/>
        </w:rPr>
        <w:t>对照包括DLinear、LightTS、固定等权多尺度、全局可学习权重和恒定输入路由五类模型。DLinear用于比较单一尺度与多尺度结构；LightTS提供独立轻量模型基线。后三种多尺度对照与本文方法保留相同的尺度集合{1,2,4}和DLinear专家，分别使用等权、全局可学习权重和恒定输入路由权重。后两者均对全部窗口使用一组固定权重，可检验完整模型相对常权重方案的误差变化。</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pPr/>
      <w:r>
        <w:t>为减少主干结构对融合方式比较的干扰，各尺度专家统一采用DLinear。单尺度预测、固定等权、全局可学习固定权重、恒定输入路由和样本级路由共五种设置均采用这一主干，使实验重点落在尺度融合方式上。</w:t>
      </w:r>
    </w:p>
    <w:p w14:paraId="3EC5233F" w14:textId="77777777" w:rsidR="00B14FA3" w:rsidRPr="00B14FA3" w:rsidRDefault="00B14FA3" w:rsidP="00B14FA3">
      <w:r>
        <w:rPr>
          <w:color w:val="000000"/>
          <w:szCs w:val="21"/>
        </w:rPr>
        <w:t>为了区分多尺度结构、非等权分配与样本相关分配的作用，设置三种共享相同专家的对照：固定等权模型将三个尺度恒定设为1/3；全局可学习权重模型以三个可训练参数经Softmax得到一组常权重；恒定输入路由模型保留完整路由网络，但训练和推理时都向路由器输入全零窗口，使全部样本共用一组可学习权重。三种模型的尺度专家均接收真实历史窗口。</w:t>
      </w:r>
    </w:p>
    <w:p w14:paraId="2BE60480" w14:textId="77777777" w:rsidR="00B14FA3" w:rsidRPr="00B14FA3" w:rsidRDefault="00B14FA3" w:rsidP="00B14FA3">
      <w:r>
        <w:rPr>
          <w:color w:val="000000"/>
          <w:szCs w:val="21"/>
        </w:rPr>
        <w:t>均方误差（MSE）、平均绝对误差（MAE）及均方根误差（RMSE）用于评价预测性能。其中MSE采用式（14），MAE和RMSE的定义如下</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32476975"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color w:val="000000"/>
          <w:kern w:val="0"/>
          <w:szCs w:val="20"/>
        </w:rPr>
        <w:tab/>
      </w:r>
      <m:oMath>
        <m:r>
          <m:rPr>
            <m:sty m:val="p"/>
          </m:rPr>
          <m:t>M</m:t>
        </m:r>
        <m:r>
          <m:rPr>
            <m:sty m:val="p"/>
          </m:rPr>
          <m:t>A</m:t>
        </m:r>
        <m:r>
          <m:rPr>
            <m:sty m:val="p"/>
          </m:rPr>
          <m:t>E</m:t>
        </m:r>
        <m:r>
          <m:rPr>
            <m:sty m:val="p"/>
          </m:rPr>
          <m:t>=</m:t>
        </m:r>
        <m:f>
          <m:fPr>
            <m:type m:val="bar"/>
          </m:fPr>
          <m:num>
            <m:r>
              <m:t>1</m:t>
            </m:r>
          </m:num>
          <m:den>
            <m:sSub>
              <m:e>
                <m:r>
                  <m:t>N</m:t>
                </m:r>
              </m:e>
              <m:sub>
                <m:r>
                  <m:rPr>
                    <m:sty m:val="p"/>
                  </m:rPr>
                  <m:t>t</m:t>
                </m:r>
                <m:r>
                  <m:rPr>
                    <m:sty m:val="p"/>
                  </m:rPr>
                  <m:t>e</m:t>
                </m:r>
              </m:sub>
            </m:sSub>
            <m:r>
              <m:t>H</m:t>
            </m:r>
            <m:r>
              <m:t>C</m:t>
            </m:r>
          </m:den>
        </m:f>
        <m:nary>
          <m:naryPr>
            <m:chr m:val="∑"/>
            <m:limLoc m:val="undOvr"/>
            <m:subHide m:val="off"/>
            <m:supHide m:val="off"/>
          </m:naryPr>
          <m:sub>
            <m:r>
              <m:t>n</m:t>
            </m:r>
            <m:r>
              <m:rPr>
                <m:sty m:val="p"/>
              </m:rPr>
              <m:t>=</m:t>
            </m:r>
            <m:r>
              <m:t>1</m:t>
            </m:r>
          </m:sub>
          <m:sup>
            <m:sSub>
              <m:e>
                <m:r>
                  <m:t>N</m:t>
                </m:r>
              </m:e>
              <m:sub>
                <m:r>
                  <m:rPr>
                    <m:sty m:val="p"/>
                  </m:rPr>
                  <m:t>t</m:t>
                </m:r>
                <m:r>
                  <m:rPr>
                    <m:sty m:val="p"/>
                  </m:rPr>
                  <m:t>e</m:t>
                </m:r>
              </m:sub>
            </m:sSub>
          </m:sup>
          <m:e>
            <m:nary>
              <m:naryPr>
                <m:chr m:val="∑"/>
                <m:limLoc m:val="undOvr"/>
                <m:subHide m:val="off"/>
                <m:supHide m:val="off"/>
              </m:naryPr>
              <m:sub>
                <m:r>
                  <m:t>h</m:t>
                </m:r>
                <m:r>
                  <m:rPr>
                    <m:sty m:val="p"/>
                  </m:rPr>
                  <m:t>=</m:t>
                </m:r>
                <m:r>
                  <m:t>1</m:t>
                </m:r>
              </m:sub>
              <m:sup>
                <m:r>
                  <m:t>H</m:t>
                </m:r>
              </m:sup>
              <m:e>
                <m:nary>
                  <m:naryPr>
                    <m:chr m:val="∑"/>
                    <m:limLoc m:val="undOvr"/>
                    <m:subHide m:val="off"/>
                    <m:supHide m:val="off"/>
                  </m:naryPr>
                  <m:sub>
                    <m:r>
                      <m:t>c</m:t>
                    </m:r>
                    <m:r>
                      <m:rPr>
                        <m:sty m:val="p"/>
                      </m:rPr>
                      <m:t>=</m:t>
                    </m:r>
                    <m:r>
                      <m:t>1</m:t>
                    </m:r>
                  </m:sub>
                  <m:sup>
                    <m:r>
                      <m:t>C</m:t>
                    </m:r>
                  </m:sup>
                  <m:e>
                    <m:r>
                      <m:rPr>
                        <m:sty m:val="p"/>
                      </m:rPr>
                      <m:t>|</m:t>
                    </m:r>
                  </m:e>
                </m:nary>
              </m:e>
            </m:nary>
          </m:e>
        </m:nary>
        <m:sSub>
          <m:e>
            <m:r>
              <m:t>Y</m:t>
            </m:r>
          </m:e>
          <m:sub>
            <m:r>
              <m:t>n</m:t>
            </m:r>
            <m:r>
              <m:rPr>
                <m:sty m:val="p"/>
              </m:rPr>
              <m:t>,</m:t>
            </m:r>
            <m:r>
              <m:t>h</m:t>
            </m:r>
            <m:r>
              <m:rPr>
                <m:sty m:val="p"/>
              </m:rPr>
              <m:t>,</m:t>
            </m:r>
            <m:r>
              <m:t>c</m:t>
            </m:r>
          </m:sub>
        </m:sSub>
        <m:r>
          <m:rPr>
            <m:sty m:val="p"/>
          </m:rPr>
          <m:t>−</m:t>
        </m:r>
        <m:sSub>
          <m:e>
            <m:acc>
              <m:accPr>
                <m:chr m:val="̂"/>
              </m:accPr>
              <m:e>
                <m:r>
                  <m:t>Y</m:t>
                </m:r>
              </m:e>
            </m:acc>
          </m:e>
          <m:sub>
            <m:r>
              <m:t>n</m:t>
            </m:r>
            <m:r>
              <m:rPr>
                <m:sty m:val="p"/>
              </m:rPr>
              <m:t>,</m:t>
            </m:r>
            <m:r>
              <m:t>h</m:t>
            </m:r>
            <m:r>
              <m:rPr>
                <m:sty m:val="p"/>
              </m:rPr>
              <m:t>,</m:t>
            </m:r>
            <m:r>
              <m:t>c</m:t>
            </m:r>
          </m:sub>
        </m:sSub>
        <m:r>
          <m:rPr>
            <m:sty m:val="p"/>
          </m:rPr>
          <m:t>|</m:t>
        </m:r>
        <m:r>
          <m:rPr>
            <m:sty m:val="p"/>
          </m:rPr>
          <m:t>.</m:t>
        </m:r>
      </m:oMath>
      <w:r w:rsidRPr="00B14FA3">
        <w:rPr>
          <w:color w:val="000000"/>
          <w:kern w:val="0"/>
          <w:szCs w:val="20"/>
        </w:rPr>
        <w:tab/>
        <w:t>(15)</w:t>
      </w:r>
    </w:p>
    <w:p w14:paraId="78A587DD"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color w:val="000000"/>
          <w:kern w:val="0"/>
          <w:szCs w:val="20"/>
        </w:rPr>
        <w:tab/>
      </w:r>
      <m:oMath>
        <m:r>
          <m:rPr>
            <m:sty m:val="p"/>
          </m:rPr>
          <m:t>R</m:t>
        </m:r>
        <m:r>
          <m:rPr>
            <m:sty m:val="p"/>
          </m:rPr>
          <m:t>M</m:t>
        </m:r>
        <m:r>
          <m:rPr>
            <m:sty m:val="p"/>
          </m:rPr>
          <m:t>S</m:t>
        </m:r>
        <m:r>
          <m:rPr>
            <m:sty m:val="p"/>
          </m:rPr>
          <m:t>E</m:t>
        </m:r>
        <m:r>
          <m:rPr>
            <m:sty m:val="p"/>
          </m:rPr>
          <m:t>=</m:t>
        </m:r>
        <m:rad>
          <m:radPr>
            <m:degHide m:val="on"/>
          </m:radPr>
          <m:deg/>
          <m:e>
            <m:r>
              <m:rPr>
                <m:sty m:val="p"/>
              </m:rPr>
              <m:t>M</m:t>
            </m:r>
            <m:r>
              <m:rPr>
                <m:sty m:val="p"/>
              </m:rPr>
              <m:t>S</m:t>
            </m:r>
            <m:r>
              <m:rPr>
                <m:sty m:val="p"/>
              </m:rPr>
              <m:t>E</m:t>
            </m:r>
          </m:e>
        </m:rad>
        <m:r>
          <m:rPr>
            <m:sty m:val="p"/>
          </m:rPr>
          <m:t>.</m:t>
        </m:r>
      </m:oMath>
      <w:r w:rsidRPr="00B14FA3">
        <w:rPr>
          <w:color w:val="000000"/>
          <w:kern w:val="0"/>
          <w:szCs w:val="20"/>
        </w:rPr>
        <w:tab/>
        <w:t>(16)</w:t>
      </w:r>
    </w:p>
    <w:p w14:paraId="015A2BBD" w14:textId="77777777" w:rsidR="00B14FA3" w:rsidRPr="00B14FA3" w:rsidRDefault="00B14FA3" w:rsidP="00B14FA3">
      <w:r>
        <w:rPr>
          <w:color w:val="000000"/>
          <w:szCs w:val="21"/>
        </w:rPr>
        <w:t>误差在标准化空间计算，各指标越小，预测误差越低。正文以MSE和MAE为主要指标：前者对较大误差更敏感，后者反映平均绝对偏差。RMSE为MSE的平方根，用于补充误差幅值。随机种子42～44的结果在表2中以均值±标准差列出；随机种子42～49的结果在表3中采用同一统计形式。均值描述平均水平，标准差描述种子间波动。相对改进率按共同随机种子逐一配对计算，再将所得改进率取平均；该百分比使用逐种子结果，而非表内四舍五入后的均值。</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7B4CAE46"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2.3 总体预测性能与基线比较</w:t>
      </w:r>
      <w:r>
        <w:rPr>
          <w:rFonts w:ascii="Arial" w:eastAsia="黑体" w:hAnsi="Arial"/>
          <w:b/>
          <w:bCs/>
          <w:color w:val="000000"/>
          <w:szCs w:val="21"/>
        </w:rPr>
      </w:r>
    </w:p>
    <w:p w14:paraId="47C6B19C" w14:textId="77777777" w:rsidR="00B14FA3" w:rsidRPr="00B14FA3" w:rsidRDefault="00B14FA3" w:rsidP="00B14FA3">
      <w:r>
        <w:rPr>
          <w:color w:val="000000"/>
          <w:szCs w:val="21"/>
        </w:rPr>
        <w:t>表2列出3个共同随机种子下的总体基线结果。本文方法在Abilene上的MSE为0.186，在GÉANT上为0.434；逐种子计算后相对DLinear分别降低4.07%和4.54%，相对LightTS分别降低29.80%和46.89%，MAE呈相同方向变化。DLinear与本文尺度专家采用同源结构，后续核心消融也以DLinear作为单尺度内部基线；LightTS属于独立外部结构基线，图2进一步给出逐随机种子、多指标和参数规模比较。</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2C988E8E" w14:textId="77777777" w:rsidR="00B14FA3" w:rsidRPr="00B14FA3" w:rsidRDefault="00B14FA3" w:rsidP="00B14FA3">
      <w:pPr>
        <w:keepNext/>
        <w:spacing w:before="60" w:after="40"/>
        <w:ind w:firstLine="0"/>
        <w:jc w:val="center"/>
      </w:pPr>
      <w:r>
        <w:rPr>
          <w:rFonts w:eastAsia="黑体"/>
          <w:b/>
          <w:color w:val="000000"/>
          <w:sz w:val="18"/>
        </w:rPr>
        <w:t>表</w:t>
      </w:r>
      <w:r>
        <w:rPr>
          <w:rFonts w:eastAsia="黑体"/>
          <w:b/>
          <w:color w:val="000000"/>
          <w:sz w:val="18"/>
        </w:rPr>
        <w:t xml:space="preserve">2 </w:t>
      </w:r>
      <w:r>
        <w:rPr>
          <w:rFonts w:eastAsia="黑体"/>
          <w:b/>
          <w:color w:val="000000"/>
          <w:sz w:val="18"/>
        </w:rPr>
        <w:t>三随机种子外部基线比较</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300"/>
        <w:gridCol w:w="2500"/>
        <w:gridCol w:w="1200"/>
        <w:gridCol w:w="2000"/>
        <w:gridCol w:w="2000"/>
      </w:tblGrid>
      <w:tr w:rsidR="00B10182" w14:paraId="74CC92C2" w14:textId="77777777">
        <w:trPr>
          <w:cantSplit/>
          <w:tblHeader/>
          <w:jc w:val="center"/>
        </w:trPr>
        <w:tc>
          <w:tcPr>
            <w:tcW w:w="1300" w:type="dxa"/>
            <w:tcBorders>
              <w:bottom w:val="single" w:sz="8" w:space="0" w:color="000000"/>
            </w:tcBorders>
            <w:tcMar>
              <w:top w:w="55" w:type="dxa"/>
              <w:left w:w="70" w:type="dxa"/>
              <w:bottom w:w="55" w:type="dxa"/>
              <w:right w:w="70" w:type="dxa"/>
            </w:tcMar>
            <w:vAlign w:val="center"/>
            <w:hideMark/>
          </w:tcPr>
          <w:p w14:paraId="73A1B21A" w14:textId="77777777" w:rsidR="00B14FA3" w:rsidRPr="00B14FA3" w:rsidRDefault="00B14FA3" w:rsidP="00B14FA3">
            <w:pPr>
              <w:keepNext/>
              <w:ind w:firstLine="0"/>
              <w:jc w:val="center"/>
            </w:pPr>
            <w:r>
              <w:rPr>
                <w:b/>
                <w:color w:val="000000"/>
                <w:szCs w:val="21"/>
              </w:rPr>
              <w:t>数据集</w:t>
            </w:r>
          </w:p>
        </w:tc>
        <w:tc>
          <w:tcPr>
            <w:tcW w:w="2500" w:type="dxa"/>
            <w:tcBorders>
              <w:bottom w:val="single" w:sz="8" w:space="0" w:color="000000"/>
            </w:tcBorders>
            <w:tcMar>
              <w:top w:w="55" w:type="dxa"/>
              <w:left w:w="70" w:type="dxa"/>
              <w:bottom w:w="55" w:type="dxa"/>
              <w:right w:w="70" w:type="dxa"/>
            </w:tcMar>
            <w:vAlign w:val="center"/>
            <w:hideMark/>
          </w:tcPr>
          <w:p w14:paraId="1D3A8B74" w14:textId="77777777" w:rsidR="00B14FA3" w:rsidRPr="00B14FA3" w:rsidRDefault="00B14FA3" w:rsidP="00B14FA3">
            <w:pPr>
              <w:keepNext/>
              <w:ind w:firstLine="0"/>
              <w:jc w:val="center"/>
            </w:pPr>
            <w:r>
              <w:rPr>
                <w:b/>
                <w:color w:val="000000"/>
                <w:szCs w:val="21"/>
              </w:rPr>
              <w:t>模型</w:t>
            </w:r>
          </w:p>
        </w:tc>
        <w:tc>
          <w:tcPr>
            <w:tcW w:w="1200" w:type="dxa"/>
            <w:tcBorders>
              <w:bottom w:val="single" w:sz="8" w:space="0" w:color="000000"/>
            </w:tcBorders>
            <w:tcMar>
              <w:top w:w="55" w:type="dxa"/>
              <w:left w:w="70" w:type="dxa"/>
              <w:bottom w:w="55" w:type="dxa"/>
              <w:right w:w="70" w:type="dxa"/>
            </w:tcMar>
            <w:vAlign w:val="center"/>
            <w:hideMark/>
          </w:tcPr>
          <w:p w14:paraId="6A04AC4B" w14:textId="77777777" w:rsidR="00B14FA3" w:rsidRPr="00B14FA3" w:rsidRDefault="00B14FA3" w:rsidP="00B14FA3">
            <w:pPr>
              <w:keepNext/>
              <w:ind w:firstLine="0"/>
              <w:jc w:val="center"/>
            </w:pPr>
            <w:r>
              <w:rPr>
                <w:b/>
                <w:color w:val="000000"/>
                <w:szCs w:val="21"/>
              </w:rPr>
              <w:t>参数量</w:t>
            </w:r>
          </w:p>
        </w:tc>
        <w:tc>
          <w:tcPr>
            <w:tcW w:w="2000" w:type="dxa"/>
            <w:tcBorders>
              <w:bottom w:val="single" w:sz="8" w:space="0" w:color="000000"/>
            </w:tcBorders>
            <w:tcMar>
              <w:top w:w="55" w:type="dxa"/>
              <w:left w:w="70" w:type="dxa"/>
              <w:bottom w:w="55" w:type="dxa"/>
              <w:right w:w="70" w:type="dxa"/>
            </w:tcMar>
            <w:vAlign w:val="center"/>
            <w:hideMark/>
          </w:tcPr>
          <w:p w14:paraId="50529A34" w14:textId="77777777" w:rsidR="00B14FA3" w:rsidRPr="00B14FA3" w:rsidRDefault="00B14FA3" w:rsidP="00B14FA3">
            <w:pPr>
              <w:keepNext/>
              <w:ind w:firstLine="0"/>
              <w:jc w:val="center"/>
            </w:pPr>
            <w:r>
              <w:rPr>
                <w:b/>
                <w:color w:val="000000"/>
                <w:szCs w:val="21"/>
              </w:rPr>
              <w:t>MSE</w:t>
            </w:r>
          </w:p>
        </w:tc>
        <w:tc>
          <w:tcPr>
            <w:tcW w:w="2000" w:type="dxa"/>
            <w:tcBorders>
              <w:bottom w:val="single" w:sz="8" w:space="0" w:color="000000"/>
            </w:tcBorders>
            <w:tcMar>
              <w:top w:w="55" w:type="dxa"/>
              <w:left w:w="70" w:type="dxa"/>
              <w:bottom w:w="55" w:type="dxa"/>
              <w:right w:w="70" w:type="dxa"/>
            </w:tcMar>
            <w:vAlign w:val="center"/>
            <w:hideMark/>
          </w:tcPr>
          <w:p w14:paraId="0BF29862" w14:textId="77777777" w:rsidR="00B14FA3" w:rsidRPr="00B14FA3" w:rsidRDefault="00B14FA3" w:rsidP="00B14FA3">
            <w:pPr>
              <w:keepNext/>
              <w:ind w:firstLine="0"/>
              <w:jc w:val="center"/>
            </w:pPr>
            <w:r>
              <w:rPr>
                <w:b/>
                <w:color w:val="000000"/>
                <w:szCs w:val="21"/>
              </w:rPr>
              <w:t>MAE</w:t>
            </w:r>
          </w:p>
        </w:tc>
      </w:tr>
      <w:tr w:rsidR="00B10182" w14:paraId="7BD3F36B"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67270E4A"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605C29C9" w14:textId="77777777" w:rsidR="00B14FA3" w:rsidRPr="00B14FA3" w:rsidRDefault="00B14FA3" w:rsidP="00B14FA3">
            <w:pPr>
              <w:keepNext/>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4ABBFC5B" w14:textId="77777777" w:rsidR="00B14FA3" w:rsidRPr="00B14FA3" w:rsidRDefault="00B14FA3" w:rsidP="00B14FA3">
            <w:pPr>
              <w:keepNext/>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28CCFDF6" w14:textId="77777777" w:rsidR="00B14FA3" w:rsidRPr="00B14FA3" w:rsidRDefault="00B14FA3" w:rsidP="00B14FA3">
            <w:pPr>
              <w:keepNext/>
              <w:ind w:firstLine="0"/>
              <w:jc w:val="left"/>
            </w:pPr>
            <w:r>
              <w:rPr>
                <w:color w:val="000000"/>
                <w:szCs w:val="21"/>
              </w:rPr>
              <w:t>0.194±0.002</w:t>
            </w:r>
          </w:p>
        </w:tc>
        <w:tc>
          <w:tcPr>
            <w:tcW w:w="2000" w:type="dxa"/>
            <w:tcBorders>
              <w:top w:val="nil"/>
              <w:left w:val="nil"/>
              <w:bottom w:val="nil"/>
              <w:right w:val="nil"/>
            </w:tcBorders>
            <w:tcMar>
              <w:top w:w="55" w:type="dxa"/>
              <w:left w:w="70" w:type="dxa"/>
              <w:bottom w:w="55" w:type="dxa"/>
              <w:right w:w="70" w:type="dxa"/>
            </w:tcMar>
            <w:vAlign w:val="center"/>
            <w:hideMark/>
          </w:tcPr>
          <w:p w14:paraId="5B37841B" w14:textId="77777777" w:rsidR="00B14FA3" w:rsidRPr="00B14FA3" w:rsidRDefault="00B14FA3" w:rsidP="00B14FA3">
            <w:pPr>
              <w:keepNext/>
              <w:ind w:firstLine="0"/>
              <w:jc w:val="left"/>
            </w:pPr>
            <w:r>
              <w:rPr>
                <w:color w:val="000000"/>
                <w:szCs w:val="21"/>
              </w:rPr>
              <w:t>0.188±0.009</w:t>
            </w:r>
          </w:p>
        </w:tc>
      </w:tr>
      <w:tr w:rsidR="00B10182" w14:paraId="30BC0D54"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0D2E5A7E"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465248BF" w14:textId="77777777" w:rsidR="00B14FA3" w:rsidRPr="00B14FA3" w:rsidRDefault="00B14FA3" w:rsidP="00B14FA3">
            <w:pPr>
              <w:keepNext/>
              <w:ind w:firstLine="0"/>
              <w:jc w:val="left"/>
            </w:pPr>
            <w:r>
              <w:rPr>
                <w:color w:val="000000"/>
                <w:szCs w:val="21"/>
              </w:rPr>
              <w:t>LightTS</w:t>
            </w:r>
          </w:p>
        </w:tc>
        <w:tc>
          <w:tcPr>
            <w:tcW w:w="1200" w:type="dxa"/>
            <w:tcBorders>
              <w:top w:val="nil"/>
              <w:left w:val="nil"/>
              <w:bottom w:val="nil"/>
              <w:right w:val="nil"/>
            </w:tcBorders>
            <w:tcMar>
              <w:top w:w="55" w:type="dxa"/>
              <w:left w:w="70" w:type="dxa"/>
              <w:bottom w:w="55" w:type="dxa"/>
              <w:right w:w="70" w:type="dxa"/>
            </w:tcMar>
            <w:vAlign w:val="center"/>
            <w:hideMark/>
          </w:tcPr>
          <w:p w14:paraId="5DBDB155" w14:textId="77777777" w:rsidR="00B14FA3" w:rsidRPr="00B14FA3" w:rsidRDefault="00B14FA3" w:rsidP="00B14FA3">
            <w:pPr>
              <w:keepNext/>
              <w:ind w:firstLine="0"/>
              <w:jc w:val="left"/>
            </w:pPr>
            <w:r>
              <w:rPr>
                <w:color w:val="000000"/>
                <w:szCs w:val="21"/>
              </w:rPr>
              <w:t>130162</w:t>
            </w:r>
          </w:p>
        </w:tc>
        <w:tc>
          <w:tcPr>
            <w:tcW w:w="2000" w:type="dxa"/>
            <w:tcBorders>
              <w:top w:val="nil"/>
              <w:left w:val="nil"/>
              <w:bottom w:val="nil"/>
              <w:right w:val="nil"/>
            </w:tcBorders>
            <w:tcMar>
              <w:top w:w="55" w:type="dxa"/>
              <w:left w:w="70" w:type="dxa"/>
              <w:bottom w:w="55" w:type="dxa"/>
              <w:right w:w="70" w:type="dxa"/>
            </w:tcMar>
            <w:vAlign w:val="center"/>
            <w:hideMark/>
          </w:tcPr>
          <w:p w14:paraId="514903F0" w14:textId="77777777" w:rsidR="00B14FA3" w:rsidRPr="00B14FA3" w:rsidRDefault="00B14FA3" w:rsidP="00B14FA3">
            <w:pPr>
              <w:keepNext/>
              <w:ind w:firstLine="0"/>
              <w:jc w:val="left"/>
            </w:pPr>
            <w:r>
              <w:rPr>
                <w:color w:val="000000"/>
                <w:szCs w:val="21"/>
              </w:rPr>
              <w:t>0.265±0.011</w:t>
            </w:r>
          </w:p>
        </w:tc>
        <w:tc>
          <w:tcPr>
            <w:tcW w:w="2000" w:type="dxa"/>
            <w:tcBorders>
              <w:top w:val="nil"/>
              <w:left w:val="nil"/>
              <w:bottom w:val="nil"/>
              <w:right w:val="nil"/>
            </w:tcBorders>
            <w:tcMar>
              <w:top w:w="55" w:type="dxa"/>
              <w:left w:w="70" w:type="dxa"/>
              <w:bottom w:w="55" w:type="dxa"/>
              <w:right w:w="70" w:type="dxa"/>
            </w:tcMar>
            <w:vAlign w:val="center"/>
            <w:hideMark/>
          </w:tcPr>
          <w:p w14:paraId="7928E3E7" w14:textId="77777777" w:rsidR="00B14FA3" w:rsidRPr="00B14FA3" w:rsidRDefault="00B14FA3" w:rsidP="00B14FA3">
            <w:pPr>
              <w:keepNext/>
              <w:ind w:firstLine="0"/>
              <w:jc w:val="left"/>
            </w:pPr>
            <w:r>
              <w:rPr>
                <w:color w:val="000000"/>
                <w:szCs w:val="21"/>
              </w:rPr>
              <w:t>0.204±0.008</w:t>
            </w:r>
          </w:p>
        </w:tc>
      </w:tr>
      <w:tr w:rsidR="00B10182" w14:paraId="346D7B1E"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9582576"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05A1E076" w14:textId="77777777" w:rsidR="00B14FA3" w:rsidRPr="00B14FA3" w:rsidRDefault="00B14FA3" w:rsidP="00B14FA3">
            <w:pPr>
              <w:keepNext/>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2E2CB203"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03B5D7D6" w14:textId="77777777" w:rsidR="00B14FA3" w:rsidRPr="00B14FA3" w:rsidRDefault="00B14FA3" w:rsidP="00B14FA3">
            <w:pPr>
              <w:keepNext/>
              <w:ind w:firstLine="0"/>
              <w:jc w:val="left"/>
            </w:pPr>
            <w:r>
              <w:rPr>
                <w:color w:val="000000"/>
                <w:szCs w:val="21"/>
              </w:rPr>
              <w:t>0.186±0.002</w:t>
            </w:r>
          </w:p>
        </w:tc>
        <w:tc>
          <w:tcPr>
            <w:tcW w:w="2000" w:type="dxa"/>
            <w:tcBorders>
              <w:top w:val="nil"/>
              <w:left w:val="nil"/>
              <w:bottom w:val="nil"/>
              <w:right w:val="nil"/>
            </w:tcBorders>
            <w:tcMar>
              <w:top w:w="55" w:type="dxa"/>
              <w:left w:w="70" w:type="dxa"/>
              <w:bottom w:w="55" w:type="dxa"/>
              <w:right w:w="70" w:type="dxa"/>
            </w:tcMar>
            <w:vAlign w:val="center"/>
            <w:hideMark/>
          </w:tcPr>
          <w:p w14:paraId="7225EFCD" w14:textId="77777777" w:rsidR="00B14FA3" w:rsidRPr="00B14FA3" w:rsidRDefault="00B14FA3" w:rsidP="00B14FA3">
            <w:pPr>
              <w:keepNext/>
              <w:ind w:firstLine="0"/>
              <w:jc w:val="left"/>
            </w:pPr>
            <w:r>
              <w:rPr>
                <w:color w:val="000000"/>
                <w:szCs w:val="21"/>
              </w:rPr>
              <w:t>0.168±0.001</w:t>
            </w:r>
          </w:p>
        </w:tc>
      </w:tr>
      <w:tr w:rsidR="00B10182" w14:paraId="08C5DFD2"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6718FA40"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4445469C" w14:textId="77777777" w:rsidR="00B14FA3" w:rsidRPr="00B14FA3" w:rsidRDefault="00B14FA3" w:rsidP="00B14FA3">
            <w:pPr>
              <w:keepNext/>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30B2B4F3" w14:textId="77777777" w:rsidR="00B14FA3" w:rsidRPr="00B14FA3" w:rsidRDefault="00B14FA3" w:rsidP="00B14FA3">
            <w:pPr>
              <w:keepNext/>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52D4A5CB" w14:textId="77777777" w:rsidR="00B14FA3" w:rsidRPr="00B14FA3" w:rsidRDefault="00B14FA3" w:rsidP="00B14FA3">
            <w:pPr>
              <w:keepNext/>
              <w:ind w:firstLine="0"/>
              <w:jc w:val="left"/>
            </w:pPr>
            <w:r>
              <w:rPr>
                <w:color w:val="000000"/>
                <w:szCs w:val="21"/>
              </w:rPr>
              <w:t>0.454±0.007</w:t>
            </w:r>
          </w:p>
        </w:tc>
        <w:tc>
          <w:tcPr>
            <w:tcW w:w="2000" w:type="dxa"/>
            <w:tcBorders>
              <w:top w:val="nil"/>
              <w:left w:val="nil"/>
              <w:bottom w:val="nil"/>
              <w:right w:val="nil"/>
            </w:tcBorders>
            <w:tcMar>
              <w:top w:w="55" w:type="dxa"/>
              <w:left w:w="70" w:type="dxa"/>
              <w:bottom w:w="55" w:type="dxa"/>
              <w:right w:w="70" w:type="dxa"/>
            </w:tcMar>
            <w:vAlign w:val="center"/>
            <w:hideMark/>
          </w:tcPr>
          <w:p w14:paraId="42E93C94" w14:textId="77777777" w:rsidR="00B14FA3" w:rsidRPr="00B14FA3" w:rsidRDefault="00B14FA3" w:rsidP="00B14FA3">
            <w:pPr>
              <w:keepNext/>
              <w:ind w:firstLine="0"/>
              <w:jc w:val="left"/>
            </w:pPr>
            <w:r>
              <w:rPr>
                <w:color w:val="000000"/>
                <w:szCs w:val="21"/>
              </w:rPr>
              <w:t>0.383±0.006</w:t>
            </w:r>
          </w:p>
        </w:tc>
      </w:tr>
      <w:tr w:rsidR="00B10182" w14:paraId="14CFFB90"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2A283DE7"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64DB8CC0" w14:textId="77777777" w:rsidR="00B14FA3" w:rsidRPr="00B14FA3" w:rsidRDefault="00B14FA3" w:rsidP="00B14FA3">
            <w:pPr>
              <w:keepNext/>
              <w:ind w:firstLine="0"/>
              <w:jc w:val="left"/>
            </w:pPr>
            <w:r>
              <w:rPr>
                <w:color w:val="000000"/>
                <w:szCs w:val="21"/>
              </w:rPr>
              <w:t>LightTS</w:t>
            </w:r>
          </w:p>
        </w:tc>
        <w:tc>
          <w:tcPr>
            <w:tcW w:w="1200" w:type="dxa"/>
            <w:tcBorders>
              <w:top w:val="nil"/>
              <w:left w:val="nil"/>
              <w:bottom w:val="nil"/>
              <w:right w:val="nil"/>
            </w:tcBorders>
            <w:tcMar>
              <w:top w:w="55" w:type="dxa"/>
              <w:left w:w="70" w:type="dxa"/>
              <w:bottom w:w="55" w:type="dxa"/>
              <w:right w:w="70" w:type="dxa"/>
            </w:tcMar>
            <w:vAlign w:val="center"/>
            <w:hideMark/>
          </w:tcPr>
          <w:p w14:paraId="55B386AD" w14:textId="77777777" w:rsidR="00B14FA3" w:rsidRPr="00B14FA3" w:rsidRDefault="00B14FA3" w:rsidP="00B14FA3">
            <w:pPr>
              <w:keepNext/>
              <w:ind w:firstLine="0"/>
              <w:jc w:val="left"/>
            </w:pPr>
            <w:r>
              <w:rPr>
                <w:color w:val="000000"/>
                <w:szCs w:val="21"/>
              </w:rPr>
              <w:t>384382</w:t>
            </w:r>
          </w:p>
        </w:tc>
        <w:tc>
          <w:tcPr>
            <w:tcW w:w="2000" w:type="dxa"/>
            <w:tcBorders>
              <w:top w:val="nil"/>
              <w:left w:val="nil"/>
              <w:bottom w:val="nil"/>
              <w:right w:val="nil"/>
            </w:tcBorders>
            <w:tcMar>
              <w:top w:w="55" w:type="dxa"/>
              <w:left w:w="70" w:type="dxa"/>
              <w:bottom w:w="55" w:type="dxa"/>
              <w:right w:w="70" w:type="dxa"/>
            </w:tcMar>
            <w:vAlign w:val="center"/>
            <w:hideMark/>
          </w:tcPr>
          <w:p w14:paraId="63428E63" w14:textId="77777777" w:rsidR="00B14FA3" w:rsidRPr="00B14FA3" w:rsidRDefault="00B14FA3" w:rsidP="00B14FA3">
            <w:pPr>
              <w:keepNext/>
              <w:ind w:firstLine="0"/>
              <w:jc w:val="left"/>
            </w:pPr>
            <w:r>
              <w:rPr>
                <w:color w:val="000000"/>
                <w:szCs w:val="21"/>
              </w:rPr>
              <w:t>0.817±0.024</w:t>
            </w:r>
          </w:p>
        </w:tc>
        <w:tc>
          <w:tcPr>
            <w:tcW w:w="2000" w:type="dxa"/>
            <w:tcBorders>
              <w:top w:val="nil"/>
              <w:left w:val="nil"/>
              <w:bottom w:val="nil"/>
              <w:right w:val="nil"/>
            </w:tcBorders>
            <w:tcMar>
              <w:top w:w="55" w:type="dxa"/>
              <w:left w:w="70" w:type="dxa"/>
              <w:bottom w:w="55" w:type="dxa"/>
              <w:right w:w="70" w:type="dxa"/>
            </w:tcMar>
            <w:vAlign w:val="center"/>
            <w:hideMark/>
          </w:tcPr>
          <w:p w14:paraId="0B5D4941" w14:textId="77777777" w:rsidR="00B14FA3" w:rsidRPr="00B14FA3" w:rsidRDefault="00B14FA3" w:rsidP="00B14FA3">
            <w:pPr>
              <w:keepNext/>
              <w:ind w:firstLine="0"/>
              <w:jc w:val="left"/>
            </w:pPr>
            <w:r>
              <w:rPr>
                <w:color w:val="000000"/>
                <w:szCs w:val="21"/>
              </w:rPr>
              <w:t>0.523±0.014</w:t>
            </w:r>
          </w:p>
        </w:tc>
      </w:tr>
      <w:tr w:rsidR="00B10182" w14:paraId="72F28BC4"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09F27897"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3608F1F4" w14:textId="77777777" w:rsidR="00B14FA3" w:rsidRPr="00B14FA3" w:rsidRDefault="00B14FA3" w:rsidP="00B14FA3">
            <w:pPr>
              <w:keepNext/>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1036E0DB"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245CE26A" w14:textId="77777777" w:rsidR="00B14FA3" w:rsidRPr="00B14FA3" w:rsidRDefault="00B14FA3" w:rsidP="00B14FA3">
            <w:pPr>
              <w:keepNext/>
              <w:ind w:firstLine="0"/>
              <w:jc w:val="left"/>
            </w:pPr>
            <w:r>
              <w:rPr>
                <w:color w:val="000000"/>
                <w:szCs w:val="21"/>
              </w:rPr>
              <w:t>0.434±0.051</w:t>
            </w:r>
          </w:p>
        </w:tc>
        <w:tc>
          <w:tcPr>
            <w:tcW w:w="2000" w:type="dxa"/>
            <w:tcBorders>
              <w:top w:val="nil"/>
              <w:left w:val="nil"/>
              <w:bottom w:val="nil"/>
              <w:right w:val="nil"/>
            </w:tcBorders>
            <w:tcMar>
              <w:top w:w="55" w:type="dxa"/>
              <w:left w:w="70" w:type="dxa"/>
              <w:bottom w:w="55" w:type="dxa"/>
              <w:right w:w="70" w:type="dxa"/>
            </w:tcMar>
            <w:vAlign w:val="center"/>
            <w:hideMark/>
          </w:tcPr>
          <w:p w14:paraId="1A66C078" w14:textId="77777777" w:rsidR="00B14FA3" w:rsidRPr="00B14FA3" w:rsidRDefault="00B14FA3" w:rsidP="00B14FA3">
            <w:pPr>
              <w:keepNext/>
              <w:ind w:firstLine="0"/>
              <w:jc w:val="left"/>
            </w:pPr>
            <w:r>
              <w:rPr>
                <w:color w:val="000000"/>
                <w:szCs w:val="21"/>
              </w:rPr>
              <w:t>0.370±0.031</w:t>
            </w:r>
          </w:p>
        </w:tc>
      </w:tr>
    </w:tbl>
    <w:p w14:paraId="5DE8C5AD" w14:textId="77777777" w:rsidR="00B14FA3" w:rsidRPr="00B14FA3" w:rsidRDefault="00B14FA3" w:rsidP="00B14FA3">
      <w:r>
        <w:rPr>
          <w:color w:val="000000"/>
          <w:szCs w:val="21"/>
        </w:rPr>
        <w:t>图2以LightTS为独立外部基线，使用两种方法共有的随机种子42～44。每次实验的相对降低率按（LightTS误差−本文方法误差）/LightTS误差计算。MSE、MAE和RMSE的平均降幅在Abilene上为29.80%、17.57%和16.23%，在GÉANT上为46.89%、29.15%和27.18%。逐种子检查这三项指标，两个数据集的3个共同随机种子均有改善。本文方法的8339个参数，约为LightTS在Abilene和GÉANT上参数量的6.41%和2.17%；LightTS的对应参数量分别为130162和384382。</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pPr>
        <w:jc w:val="center"/>
        <w:keepNext/>
      </w:pPr>
      <w:r>
        <w:drawing>
          <wp:inline xmlns:a="http://schemas.openxmlformats.org/drawingml/2006/main" xmlns:pic="http://schemas.openxmlformats.org/drawingml/2006/picture">
            <wp:extent cx="5715000" cy="2612771"/>
            <wp:docPr id="25" name="Picture 25"/>
            <wp:cNvGraphicFramePr>
              <a:graphicFrameLocks noChangeAspect="1"/>
            </wp:cNvGraphicFramePr>
            <a:graphic>
              <a:graphicData uri="http://schemas.openxmlformats.org/drawingml/2006/picture">
                <pic:pic>
                  <pic:nvPicPr>
                    <pic:cNvPr id="0" name="fig3_lightts_improvement_heatstrip.png"/>
                    <pic:cNvPicPr/>
                  </pic:nvPicPr>
                  <pic:blipFill>
                    <a:blip r:embed="rId19"/>
                    <a:stretch>
                      <a:fillRect/>
                    </a:stretch>
                  </pic:blipFill>
                  <pic:spPr>
                    <a:xfrm>
                      <a:off x="0" y="0"/>
                      <a:ext cx="5715000" cy="2612771"/>
                    </a:xfrm>
                    <a:prstGeom prst="rect"/>
                  </pic:spPr>
                </pic:pic>
              </a:graphicData>
            </a:graphic>
          </wp:inline>
        </w:drawing>
      </w:r>
    </w:p>
    <w:p w14:paraId="64F9B12D" w14:textId="77777777" w:rsidR="00B14FA3" w:rsidRPr="00B14FA3" w:rsidRDefault="00B14FA3" w:rsidP="00B14FA3">
      <w:pPr>
        <w:keepLines/>
        <w:spacing w:before="60" w:after="80"/>
        <w:ind w:firstLine="0"/>
        <w:jc w:val="center"/>
      </w:pPr>
      <w:r>
        <w:rPr>
          <w:rFonts w:eastAsia="黑体"/>
          <w:b/>
          <w:sz w:val="18"/>
          <w:szCs w:val="18"/>
        </w:rPr>
        <w:t>图2 Abilene与GÉANT上本文方法相对LightTS的三随机种子多指标性能提升</w:t>
      </w:r>
    </w:p>
    <w:p>
      <w:pPr/>
      <w:r>
        <w:t>GÉANT的OD变量数较多，本文方法相对LightTS的MSE降幅也高于Abilene。这说明该方法在变量规模不同的两套数据上均保持了预测优势。固定等权与全局可学习权重对照均采用相同的多尺度专家结构，适合进一步检验融合方式本身的作用。</w:t>
      </w:r>
    </w:p>
    <w:p w14:paraId="45F47835"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 xml:space="preserve">2.4 </w:t>
      </w:r>
      <w:r>
        <w:rPr>
          <w:rFonts w:ascii="Arial" w:eastAsia="黑体" w:hAnsi="Arial"/>
          <w:b/>
          <w:bCs/>
          <w:color w:val="000000"/>
          <w:szCs w:val="21"/>
        </w:rPr>
        <w:t>八随机种子核心消融与稳定性</w:t>
      </w:r>
    </w:p>
    <w:p w14:paraId="4EB4547B" w14:textId="77777777" w:rsidR="00B14FA3" w:rsidRPr="00B14FA3" w:rsidRDefault="00B14FA3" w:rsidP="00B14FA3">
      <w:r>
        <w:rPr>
          <w:color w:val="000000"/>
          <w:szCs w:val="21"/>
        </w:rPr>
        <w:t>表3汇总随机种子42～49的8次核心消融，列出五种模型的参数量、MSE和MAE。</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7719DA9B" w14:textId="77777777" w:rsidR="00B14FA3" w:rsidRPr="00B14FA3" w:rsidRDefault="00B14FA3" w:rsidP="00B14FA3">
      <w:pPr>
        <w:keepNext/>
        <w:spacing w:before="60" w:after="40"/>
        <w:ind w:firstLine="0"/>
        <w:jc w:val="center"/>
      </w:pPr>
      <w:r>
        <w:rPr>
          <w:rFonts w:eastAsia="黑体"/>
          <w:b/>
          <w:color w:val="000000"/>
          <w:sz w:val="18"/>
        </w:rPr>
        <w:t>表3 八随机种子核心消融结果（均值±标准差）</w:t>
      </w:r>
      <w:r>
        <w:rPr>
          <w:rFonts w:eastAsia="黑体"/>
          <w:b/>
          <w:color w:val="000000"/>
          <w:sz w:val="18"/>
        </w:rPr>
      </w:r>
      <w:r>
        <w:rPr>
          <w:rFonts w:eastAsia="黑体"/>
          <w:b/>
          <w:color w:val="000000"/>
          <w:sz w:val="18"/>
        </w:rPr>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300"/>
        <w:gridCol w:w="2500"/>
        <w:gridCol w:w="1200"/>
        <w:gridCol w:w="2000"/>
        <w:gridCol w:w="2000"/>
      </w:tblGrid>
      <w:tr w:rsidR="00B10182" w14:paraId="3DA1AD1C" w14:textId="77777777">
        <w:trPr>
          <w:cantSplit/>
          <w:tblHeader/>
          <w:jc w:val="center"/>
        </w:trPr>
        <w:tc>
          <w:tcPr>
            <w:tcW w:w="1300" w:type="dxa"/>
            <w:tcBorders>
              <w:bottom w:val="single" w:sz="8" w:space="0" w:color="000000"/>
            </w:tcBorders>
            <w:tcMar>
              <w:top w:w="55" w:type="dxa"/>
              <w:left w:w="70" w:type="dxa"/>
              <w:bottom w:w="55" w:type="dxa"/>
              <w:right w:w="70" w:type="dxa"/>
            </w:tcMar>
            <w:vAlign w:val="center"/>
            <w:hideMark/>
          </w:tcPr>
          <w:p w14:paraId="35E46A0A" w14:textId="77777777" w:rsidR="00B14FA3" w:rsidRPr="00B14FA3" w:rsidRDefault="00B14FA3" w:rsidP="00B14FA3">
            <w:pPr>
              <w:keepNext/>
              <w:ind w:firstLine="0"/>
              <w:jc w:val="center"/>
            </w:pPr>
            <w:r>
              <w:rPr>
                <w:b/>
                <w:color w:val="000000"/>
                <w:szCs w:val="21"/>
              </w:rPr>
              <w:t>数据集</w:t>
            </w:r>
          </w:p>
        </w:tc>
        <w:tc>
          <w:tcPr>
            <w:tcW w:w="2500" w:type="dxa"/>
            <w:tcBorders>
              <w:bottom w:val="single" w:sz="8" w:space="0" w:color="000000"/>
            </w:tcBorders>
            <w:tcMar>
              <w:top w:w="55" w:type="dxa"/>
              <w:left w:w="70" w:type="dxa"/>
              <w:bottom w:w="55" w:type="dxa"/>
              <w:right w:w="70" w:type="dxa"/>
            </w:tcMar>
            <w:vAlign w:val="center"/>
            <w:hideMark/>
          </w:tcPr>
          <w:p w14:paraId="16C4D3AF" w14:textId="77777777" w:rsidR="00B14FA3" w:rsidRPr="00B14FA3" w:rsidRDefault="00B14FA3" w:rsidP="00B14FA3">
            <w:pPr>
              <w:keepNext/>
              <w:ind w:firstLine="0"/>
              <w:jc w:val="center"/>
            </w:pPr>
            <w:r>
              <w:rPr>
                <w:b/>
                <w:color w:val="000000"/>
                <w:szCs w:val="21"/>
              </w:rPr>
              <w:t>模型</w:t>
            </w:r>
          </w:p>
        </w:tc>
        <w:tc>
          <w:tcPr>
            <w:tcW w:w="1200" w:type="dxa"/>
            <w:tcBorders>
              <w:bottom w:val="single" w:sz="8" w:space="0" w:color="000000"/>
            </w:tcBorders>
            <w:tcMar>
              <w:top w:w="55" w:type="dxa"/>
              <w:left w:w="70" w:type="dxa"/>
              <w:bottom w:w="55" w:type="dxa"/>
              <w:right w:w="70" w:type="dxa"/>
            </w:tcMar>
            <w:vAlign w:val="center"/>
            <w:hideMark/>
          </w:tcPr>
          <w:p w14:paraId="17F99015" w14:textId="77777777" w:rsidR="00B14FA3" w:rsidRPr="00B14FA3" w:rsidRDefault="00B14FA3" w:rsidP="00B14FA3">
            <w:pPr>
              <w:keepNext/>
              <w:ind w:firstLine="0"/>
              <w:jc w:val="center"/>
            </w:pPr>
            <w:r>
              <w:rPr>
                <w:b/>
                <w:color w:val="000000"/>
                <w:szCs w:val="21"/>
              </w:rPr>
              <w:t>参数量</w:t>
            </w:r>
          </w:p>
        </w:tc>
        <w:tc>
          <w:tcPr>
            <w:tcW w:w="2000" w:type="dxa"/>
            <w:tcBorders>
              <w:bottom w:val="single" w:sz="8" w:space="0" w:color="000000"/>
            </w:tcBorders>
            <w:tcMar>
              <w:top w:w="55" w:type="dxa"/>
              <w:left w:w="70" w:type="dxa"/>
              <w:bottom w:w="55" w:type="dxa"/>
              <w:right w:w="70" w:type="dxa"/>
            </w:tcMar>
            <w:vAlign w:val="center"/>
            <w:hideMark/>
          </w:tcPr>
          <w:p w14:paraId="5C192F3F" w14:textId="77777777" w:rsidR="00B14FA3" w:rsidRPr="00B14FA3" w:rsidRDefault="00B14FA3" w:rsidP="00B14FA3">
            <w:pPr>
              <w:keepNext/>
              <w:ind w:firstLine="0"/>
              <w:jc w:val="center"/>
            </w:pPr>
            <w:r>
              <w:rPr>
                <w:b/>
                <w:color w:val="000000"/>
                <w:szCs w:val="21"/>
              </w:rPr>
              <w:t>MSE</w:t>
            </w:r>
          </w:p>
        </w:tc>
        <w:tc>
          <w:tcPr>
            <w:tcW w:w="2000" w:type="dxa"/>
            <w:tcBorders>
              <w:bottom w:val="single" w:sz="8" w:space="0" w:color="000000"/>
            </w:tcBorders>
            <w:tcMar>
              <w:top w:w="55" w:type="dxa"/>
              <w:left w:w="70" w:type="dxa"/>
              <w:bottom w:w="55" w:type="dxa"/>
              <w:right w:w="70" w:type="dxa"/>
            </w:tcMar>
            <w:vAlign w:val="center"/>
            <w:hideMark/>
          </w:tcPr>
          <w:p w14:paraId="4D3677E0" w14:textId="77777777" w:rsidR="00B14FA3" w:rsidRPr="00B14FA3" w:rsidRDefault="00B14FA3" w:rsidP="00B14FA3">
            <w:pPr>
              <w:keepNext/>
              <w:ind w:firstLine="0"/>
              <w:jc w:val="center"/>
            </w:pPr>
            <w:r>
              <w:rPr>
                <w:b/>
                <w:color w:val="000000"/>
                <w:szCs w:val="21"/>
              </w:rPr>
              <w:t>MAE</w:t>
            </w:r>
          </w:p>
        </w:tc>
      </w:tr>
      <w:tr w:rsidR="00B10182" w14:paraId="74FD5207"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7E7AD1C0"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48CDB700" w14:textId="77777777" w:rsidR="00B14FA3" w:rsidRPr="00B14FA3" w:rsidRDefault="00B14FA3" w:rsidP="00B14FA3">
            <w:pPr>
              <w:keepNext/>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16F24568" w14:textId="77777777" w:rsidR="00B14FA3" w:rsidRPr="00B14FA3" w:rsidRDefault="00B14FA3" w:rsidP="00B14FA3">
            <w:pPr>
              <w:keepNext/>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675D686B" w14:textId="77777777" w:rsidR="00B14FA3" w:rsidRPr="00B14FA3" w:rsidRDefault="00B14FA3" w:rsidP="00B14FA3">
            <w:pPr>
              <w:keepNext/>
              <w:ind w:firstLine="0"/>
              <w:jc w:val="left"/>
            </w:pPr>
            <w:r>
              <w:rPr>
                <w:color w:val="000000"/>
                <w:szCs w:val="21"/>
              </w:rPr>
              <w:t>0.194±0.002</w:t>
            </w:r>
          </w:p>
        </w:tc>
        <w:tc>
          <w:tcPr>
            <w:tcW w:w="2000" w:type="dxa"/>
            <w:tcBorders>
              <w:top w:val="nil"/>
              <w:left w:val="nil"/>
              <w:bottom w:val="nil"/>
              <w:right w:val="nil"/>
            </w:tcBorders>
            <w:tcMar>
              <w:top w:w="55" w:type="dxa"/>
              <w:left w:w="70" w:type="dxa"/>
              <w:bottom w:w="55" w:type="dxa"/>
              <w:right w:w="70" w:type="dxa"/>
            </w:tcMar>
            <w:vAlign w:val="center"/>
            <w:hideMark/>
          </w:tcPr>
          <w:p w14:paraId="057BAF36" w14:textId="77777777" w:rsidR="00B14FA3" w:rsidRPr="00B14FA3" w:rsidRDefault="00B14FA3" w:rsidP="00B14FA3">
            <w:pPr>
              <w:keepNext/>
              <w:ind w:firstLine="0"/>
              <w:jc w:val="left"/>
            </w:pPr>
            <w:r>
              <w:rPr>
                <w:color w:val="000000"/>
                <w:szCs w:val="21"/>
              </w:rPr>
              <w:t>0.189±0.008</w:t>
            </w:r>
          </w:p>
        </w:tc>
      </w:tr>
      <w:tr w:rsidR="00B10182" w14:paraId="1610B718"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540C537"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10DA8D66" w14:textId="77777777" w:rsidR="00B14FA3" w:rsidRPr="00B14FA3" w:rsidRDefault="00B14FA3" w:rsidP="00B14FA3">
            <w:pPr>
              <w:keepNext/>
              <w:ind w:firstLine="0"/>
              <w:jc w:val="left"/>
            </w:pPr>
            <w:r>
              <w:rPr>
                <w:color w:val="000000"/>
                <w:szCs w:val="21"/>
              </w:rPr>
              <w:t>固定等权多尺度</w:t>
            </w:r>
          </w:p>
        </w:tc>
        <w:tc>
          <w:tcPr>
            <w:tcW w:w="1200" w:type="dxa"/>
            <w:tcBorders>
              <w:top w:val="nil"/>
              <w:left w:val="nil"/>
              <w:bottom w:val="nil"/>
              <w:right w:val="nil"/>
            </w:tcBorders>
            <w:tcMar>
              <w:top w:w="55" w:type="dxa"/>
              <w:left w:w="70" w:type="dxa"/>
              <w:bottom w:w="55" w:type="dxa"/>
              <w:right w:w="70" w:type="dxa"/>
            </w:tcMar>
            <w:vAlign w:val="center"/>
            <w:hideMark/>
          </w:tcPr>
          <w:p w14:paraId="2B6F414C" w14:textId="77777777" w:rsidR="00B14FA3" w:rsidRPr="00B14FA3" w:rsidRDefault="00B14FA3" w:rsidP="00B14FA3">
            <w:pPr>
              <w:keepNext/>
              <w:ind w:firstLine="0"/>
              <w:jc w:val="left"/>
            </w:pPr>
            <w:r>
              <w:rPr>
                <w:color w:val="000000"/>
                <w:szCs w:val="21"/>
              </w:rPr>
              <w:t>8208</w:t>
            </w:r>
          </w:p>
        </w:tc>
        <w:tc>
          <w:tcPr>
            <w:tcW w:w="2000" w:type="dxa"/>
            <w:tcBorders>
              <w:top w:val="nil"/>
              <w:left w:val="nil"/>
              <w:bottom w:val="nil"/>
              <w:right w:val="nil"/>
            </w:tcBorders>
            <w:tcMar>
              <w:top w:w="55" w:type="dxa"/>
              <w:left w:w="70" w:type="dxa"/>
              <w:bottom w:w="55" w:type="dxa"/>
              <w:right w:w="70" w:type="dxa"/>
            </w:tcMar>
            <w:vAlign w:val="center"/>
            <w:hideMark/>
          </w:tcPr>
          <w:p w14:paraId="6628BFC6" w14:textId="77777777" w:rsidR="00B14FA3" w:rsidRPr="00B14FA3" w:rsidRDefault="00B14FA3" w:rsidP="00B14FA3">
            <w:pPr>
              <w:keepNext/>
              <w:ind w:firstLine="0"/>
              <w:jc w:val="left"/>
            </w:pPr>
            <w:r>
              <w:rPr>
                <w:color w:val="000000"/>
                <w:szCs w:val="21"/>
              </w:rPr>
              <w:t>0.192±0.002</w:t>
            </w:r>
          </w:p>
        </w:tc>
        <w:tc>
          <w:tcPr>
            <w:tcW w:w="2000" w:type="dxa"/>
            <w:tcBorders>
              <w:top w:val="nil"/>
              <w:left w:val="nil"/>
              <w:bottom w:val="nil"/>
              <w:right w:val="nil"/>
            </w:tcBorders>
            <w:tcMar>
              <w:top w:w="55" w:type="dxa"/>
              <w:left w:w="70" w:type="dxa"/>
              <w:bottom w:w="55" w:type="dxa"/>
              <w:right w:w="70" w:type="dxa"/>
            </w:tcMar>
            <w:vAlign w:val="center"/>
            <w:hideMark/>
          </w:tcPr>
          <w:p w14:paraId="4451ED7D" w14:textId="77777777" w:rsidR="00B14FA3" w:rsidRPr="00B14FA3" w:rsidRDefault="00B14FA3" w:rsidP="00B14FA3">
            <w:pPr>
              <w:keepNext/>
              <w:ind w:firstLine="0"/>
              <w:jc w:val="left"/>
            </w:pPr>
            <w:r>
              <w:rPr>
                <w:color w:val="000000"/>
                <w:szCs w:val="21"/>
              </w:rPr>
              <w:t>0.191±0.006</w:t>
            </w:r>
          </w:p>
        </w:tc>
      </w:tr>
      <w:tr w:rsidR="00B10182" w14:paraId="1610B718"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540C537"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10DA8D66" w14:textId="77777777" w:rsidR="00B14FA3" w:rsidRPr="00B14FA3" w:rsidRDefault="00B14FA3" w:rsidP="00B14FA3">
            <w:pPr>
              <w:keepNext/>
              <w:ind w:firstLine="0"/>
              <w:jc w:val="left"/>
            </w:pPr>
            <w:r>
              <w:rPr>
                <w:color w:val="000000"/>
                <w:szCs w:val="21"/>
              </w:rPr>
              <w:t>全局可学习权重</w:t>
            </w:r>
          </w:p>
        </w:tc>
        <w:tc>
          <w:tcPr>
            <w:tcW w:w="1200" w:type="dxa"/>
            <w:tcBorders>
              <w:top w:val="nil"/>
              <w:left w:val="nil"/>
              <w:bottom w:val="nil"/>
              <w:right w:val="nil"/>
            </w:tcBorders>
            <w:tcMar>
              <w:top w:w="55" w:type="dxa"/>
              <w:left w:w="70" w:type="dxa"/>
              <w:bottom w:w="55" w:type="dxa"/>
              <w:right w:w="70" w:type="dxa"/>
            </w:tcMar>
            <w:vAlign w:val="center"/>
            <w:hideMark/>
          </w:tcPr>
          <w:p w14:paraId="2B6F414C" w14:textId="77777777" w:rsidR="00B14FA3" w:rsidRPr="00B14FA3" w:rsidRDefault="00B14FA3" w:rsidP="00B14FA3">
            <w:pPr>
              <w:keepNext/>
              <w:ind w:firstLine="0"/>
              <w:jc w:val="left"/>
            </w:pPr>
            <w:r>
              <w:rPr>
                <w:color w:val="000000"/>
                <w:szCs w:val="21"/>
              </w:rPr>
              <w:t>8211</w:t>
            </w:r>
          </w:p>
        </w:tc>
        <w:tc>
          <w:tcPr>
            <w:tcW w:w="2000" w:type="dxa"/>
            <w:tcBorders>
              <w:top w:val="nil"/>
              <w:left w:val="nil"/>
              <w:bottom w:val="nil"/>
              <w:right w:val="nil"/>
            </w:tcBorders>
            <w:tcMar>
              <w:top w:w="55" w:type="dxa"/>
              <w:left w:w="70" w:type="dxa"/>
              <w:bottom w:w="55" w:type="dxa"/>
              <w:right w:w="70" w:type="dxa"/>
            </w:tcMar>
            <w:vAlign w:val="center"/>
            <w:hideMark/>
          </w:tcPr>
          <w:p w14:paraId="6628BFC6" w14:textId="77777777" w:rsidR="00B14FA3" w:rsidRPr="00B14FA3" w:rsidRDefault="00B14FA3" w:rsidP="00B14FA3">
            <w:pPr>
              <w:keepNext/>
              <w:ind w:firstLine="0"/>
              <w:jc w:val="left"/>
            </w:pPr>
            <w:r>
              <w:rPr>
                <w:color w:val="000000"/>
                <w:szCs w:val="21"/>
              </w:rPr>
              <w:t>0.192±0.002</w:t>
            </w:r>
          </w:p>
        </w:tc>
        <w:tc>
          <w:tcPr>
            <w:tcW w:w="2000" w:type="dxa"/>
            <w:tcBorders>
              <w:top w:val="nil"/>
              <w:left w:val="nil"/>
              <w:bottom w:val="nil"/>
              <w:right w:val="nil"/>
            </w:tcBorders>
            <w:tcMar>
              <w:top w:w="55" w:type="dxa"/>
              <w:left w:w="70" w:type="dxa"/>
              <w:bottom w:w="55" w:type="dxa"/>
              <w:right w:w="70" w:type="dxa"/>
            </w:tcMar>
            <w:vAlign w:val="center"/>
            <w:hideMark/>
          </w:tcPr>
          <w:p w14:paraId="4451ED7D" w14:textId="77777777" w:rsidR="00B14FA3" w:rsidRPr="00B14FA3" w:rsidRDefault="00B14FA3" w:rsidP="00B14FA3">
            <w:pPr>
              <w:keepNext/>
              <w:ind w:firstLine="0"/>
              <w:jc w:val="left"/>
            </w:pPr>
            <w:r>
              <w:rPr>
                <w:color w:val="000000"/>
                <w:szCs w:val="21"/>
              </w:rPr>
              <w:t>0.190±0.006</w:t>
            </w:r>
          </w:p>
        </w:tc>
      </w:tr>
      <w:tr w:rsidR="00B10182" w14:paraId="1610B718"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540C537"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10DA8D66" w14:textId="77777777" w:rsidR="00B14FA3" w:rsidRPr="00B14FA3" w:rsidRDefault="00B14FA3" w:rsidP="00B14FA3">
            <w:pPr>
              <w:keepNext/>
              <w:ind w:firstLine="0"/>
              <w:jc w:val="left"/>
            </w:pPr>
            <w:r>
              <w:rPr>
                <w:color w:val="000000"/>
                <w:szCs w:val="21"/>
              </w:rPr>
              <w:t>恒定输入路由</w:t>
            </w:r>
          </w:p>
        </w:tc>
        <w:tc>
          <w:tcPr>
            <w:tcW w:w="1200" w:type="dxa"/>
            <w:tcBorders>
              <w:top w:val="nil"/>
              <w:left w:val="nil"/>
              <w:bottom w:val="nil"/>
              <w:right w:val="nil"/>
            </w:tcBorders>
            <w:tcMar>
              <w:top w:w="55" w:type="dxa"/>
              <w:left w:w="70" w:type="dxa"/>
              <w:bottom w:w="55" w:type="dxa"/>
              <w:right w:w="70" w:type="dxa"/>
            </w:tcMar>
            <w:vAlign w:val="center"/>
            <w:hideMark/>
          </w:tcPr>
          <w:p w14:paraId="2B6F414C"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6628BFC6" w14:textId="77777777" w:rsidR="00B14FA3" w:rsidRPr="00B14FA3" w:rsidRDefault="00B14FA3" w:rsidP="00B14FA3">
            <w:pPr>
              <w:keepNext/>
              <w:ind w:firstLine="0"/>
              <w:jc w:val="left"/>
            </w:pPr>
            <w:r>
              <w:rPr>
                <w:color w:val="000000"/>
                <w:szCs w:val="21"/>
              </w:rPr>
              <w:t>0.192±0.002</w:t>
            </w:r>
          </w:p>
        </w:tc>
        <w:tc>
          <w:tcPr>
            <w:tcW w:w="2000" w:type="dxa"/>
            <w:tcBorders>
              <w:top w:val="nil"/>
              <w:left w:val="nil"/>
              <w:bottom w:val="nil"/>
              <w:right w:val="nil"/>
            </w:tcBorders>
            <w:tcMar>
              <w:top w:w="55" w:type="dxa"/>
              <w:left w:w="70" w:type="dxa"/>
              <w:bottom w:w="55" w:type="dxa"/>
              <w:right w:w="70" w:type="dxa"/>
            </w:tcMar>
            <w:vAlign w:val="center"/>
            <w:hideMark/>
          </w:tcPr>
          <w:p w14:paraId="4451ED7D" w14:textId="77777777" w:rsidR="00B14FA3" w:rsidRPr="00B14FA3" w:rsidRDefault="00B14FA3" w:rsidP="00B14FA3">
            <w:pPr>
              <w:keepNext/>
              <w:ind w:firstLine="0"/>
              <w:jc w:val="left"/>
            </w:pPr>
            <w:r>
              <w:rPr>
                <w:color w:val="000000"/>
                <w:szCs w:val="21"/>
              </w:rPr>
              <w:t>0.181±0.006</w:t>
            </w:r>
          </w:p>
        </w:tc>
      </w:tr>
      <w:tr w:rsidR="00B10182" w14:paraId="23DB7E98"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1A4CCFAA"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0FC76C3A" w14:textId="77777777" w:rsidR="00B14FA3" w:rsidRPr="00B14FA3" w:rsidRDefault="00B14FA3" w:rsidP="00B14FA3">
            <w:pPr>
              <w:keepNext/>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708F9AC6"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5031967D" w14:textId="77777777" w:rsidR="00B14FA3" w:rsidRPr="00B14FA3" w:rsidRDefault="00B14FA3" w:rsidP="00B14FA3">
            <w:pPr>
              <w:keepNext/>
              <w:ind w:firstLine="0"/>
              <w:jc w:val="left"/>
            </w:pPr>
            <w:r>
              <w:rPr>
                <w:color w:val="000000"/>
                <w:szCs w:val="21"/>
              </w:rPr>
              <w:t>0.189±0.003</w:t>
            </w:r>
          </w:p>
        </w:tc>
        <w:tc>
          <w:tcPr>
            <w:tcW w:w="2000" w:type="dxa"/>
            <w:tcBorders>
              <w:top w:val="nil"/>
              <w:left w:val="nil"/>
              <w:bottom w:val="nil"/>
              <w:right w:val="nil"/>
            </w:tcBorders>
            <w:tcMar>
              <w:top w:w="55" w:type="dxa"/>
              <w:left w:w="70" w:type="dxa"/>
              <w:bottom w:w="55" w:type="dxa"/>
              <w:right w:w="70" w:type="dxa"/>
            </w:tcMar>
            <w:vAlign w:val="center"/>
            <w:hideMark/>
          </w:tcPr>
          <w:p w14:paraId="19671D4B" w14:textId="77777777" w:rsidR="00B14FA3" w:rsidRPr="00B14FA3" w:rsidRDefault="00B14FA3" w:rsidP="00B14FA3">
            <w:pPr>
              <w:keepNext/>
              <w:ind w:firstLine="0"/>
              <w:jc w:val="left"/>
            </w:pPr>
            <w:r>
              <w:rPr>
                <w:color w:val="000000"/>
                <w:szCs w:val="21"/>
              </w:rPr>
              <w:t>0.173±0.008</w:t>
            </w:r>
          </w:p>
        </w:tc>
      </w:tr>
      <w:tr w:rsidR="00B10182" w14:paraId="56D06F3E"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6945779"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73EC9705" w14:textId="77777777" w:rsidR="00B14FA3" w:rsidRPr="00B14FA3" w:rsidRDefault="00B14FA3" w:rsidP="00B14FA3">
            <w:pPr>
              <w:keepNext/>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566A8164" w14:textId="77777777" w:rsidR="00B14FA3" w:rsidRPr="00B14FA3" w:rsidRDefault="00B14FA3" w:rsidP="00B14FA3">
            <w:pPr>
              <w:keepNext/>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4EF2CCCB" w14:textId="77777777" w:rsidR="00B14FA3" w:rsidRPr="00B14FA3" w:rsidRDefault="00B14FA3" w:rsidP="00B14FA3">
            <w:pPr>
              <w:keepNext/>
              <w:ind w:firstLine="0"/>
              <w:jc w:val="left"/>
            </w:pPr>
            <w:r>
              <w:rPr>
                <w:color w:val="000000"/>
                <w:szCs w:val="21"/>
              </w:rPr>
              <w:t>0.437±0.016</w:t>
            </w:r>
          </w:p>
        </w:tc>
        <w:tc>
          <w:tcPr>
            <w:tcW w:w="2000" w:type="dxa"/>
            <w:tcBorders>
              <w:top w:val="nil"/>
              <w:left w:val="nil"/>
              <w:bottom w:val="nil"/>
              <w:right w:val="nil"/>
            </w:tcBorders>
            <w:tcMar>
              <w:top w:w="55" w:type="dxa"/>
              <w:left w:w="70" w:type="dxa"/>
              <w:bottom w:w="55" w:type="dxa"/>
              <w:right w:w="70" w:type="dxa"/>
            </w:tcMar>
            <w:vAlign w:val="center"/>
            <w:hideMark/>
          </w:tcPr>
          <w:p w14:paraId="53A75E10" w14:textId="77777777" w:rsidR="00B14FA3" w:rsidRPr="00B14FA3" w:rsidRDefault="00B14FA3" w:rsidP="00B14FA3">
            <w:pPr>
              <w:keepNext/>
              <w:ind w:firstLine="0"/>
              <w:jc w:val="left"/>
            </w:pPr>
            <w:r>
              <w:rPr>
                <w:color w:val="000000"/>
                <w:szCs w:val="21"/>
              </w:rPr>
              <w:t>0.371±0.011</w:t>
            </w:r>
          </w:p>
        </w:tc>
      </w:tr>
      <w:tr w:rsidR="00B10182" w14:paraId="66E7B953"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154878CA"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184E9A01" w14:textId="77777777" w:rsidR="00B14FA3" w:rsidRPr="00B14FA3" w:rsidRDefault="00B14FA3" w:rsidP="00B14FA3">
            <w:pPr>
              <w:keepNext/>
              <w:ind w:firstLine="0"/>
              <w:jc w:val="left"/>
            </w:pPr>
            <w:r>
              <w:rPr>
                <w:color w:val="000000"/>
                <w:szCs w:val="21"/>
              </w:rPr>
              <w:t>固定等权多尺度</w:t>
            </w:r>
          </w:p>
        </w:tc>
        <w:tc>
          <w:tcPr>
            <w:tcW w:w="1200" w:type="dxa"/>
            <w:tcBorders>
              <w:top w:val="nil"/>
              <w:left w:val="nil"/>
              <w:bottom w:val="nil"/>
              <w:right w:val="nil"/>
            </w:tcBorders>
            <w:tcMar>
              <w:top w:w="55" w:type="dxa"/>
              <w:left w:w="70" w:type="dxa"/>
              <w:bottom w:w="55" w:type="dxa"/>
              <w:right w:w="70" w:type="dxa"/>
            </w:tcMar>
            <w:vAlign w:val="center"/>
            <w:hideMark/>
          </w:tcPr>
          <w:p w14:paraId="1A76C9D2" w14:textId="77777777" w:rsidR="00B14FA3" w:rsidRPr="00B14FA3" w:rsidRDefault="00B14FA3" w:rsidP="00B14FA3">
            <w:pPr>
              <w:keepNext/>
              <w:ind w:firstLine="0"/>
              <w:jc w:val="left"/>
            </w:pPr>
            <w:r>
              <w:rPr>
                <w:color w:val="000000"/>
                <w:szCs w:val="21"/>
              </w:rPr>
              <w:t>8208</w:t>
            </w:r>
          </w:p>
        </w:tc>
        <w:tc>
          <w:tcPr>
            <w:tcW w:w="2000" w:type="dxa"/>
            <w:tcBorders>
              <w:top w:val="nil"/>
              <w:left w:val="nil"/>
              <w:bottom w:val="nil"/>
              <w:right w:val="nil"/>
            </w:tcBorders>
            <w:tcMar>
              <w:top w:w="55" w:type="dxa"/>
              <w:left w:w="70" w:type="dxa"/>
              <w:bottom w:w="55" w:type="dxa"/>
              <w:right w:w="70" w:type="dxa"/>
            </w:tcMar>
            <w:vAlign w:val="center"/>
            <w:hideMark/>
          </w:tcPr>
          <w:p w14:paraId="5A292C45" w14:textId="77777777" w:rsidR="00B14FA3" w:rsidRPr="00B14FA3" w:rsidRDefault="00B14FA3" w:rsidP="00B14FA3">
            <w:pPr>
              <w:keepNext/>
              <w:ind w:firstLine="0"/>
              <w:jc w:val="left"/>
            </w:pPr>
            <w:r>
              <w:rPr>
                <w:color w:val="000000"/>
                <w:szCs w:val="21"/>
              </w:rPr>
              <w:t>0.447±0.014</w:t>
            </w:r>
          </w:p>
        </w:tc>
        <w:tc>
          <w:tcPr>
            <w:tcW w:w="2000" w:type="dxa"/>
            <w:tcBorders>
              <w:top w:val="nil"/>
              <w:left w:val="nil"/>
              <w:bottom w:val="nil"/>
              <w:right w:val="nil"/>
            </w:tcBorders>
            <w:tcMar>
              <w:top w:w="55" w:type="dxa"/>
              <w:left w:w="70" w:type="dxa"/>
              <w:bottom w:w="55" w:type="dxa"/>
              <w:right w:w="70" w:type="dxa"/>
            </w:tcMar>
            <w:vAlign w:val="center"/>
            <w:hideMark/>
          </w:tcPr>
          <w:p w14:paraId="789428A2" w14:textId="77777777" w:rsidR="00B14FA3" w:rsidRPr="00B14FA3" w:rsidRDefault="00B14FA3" w:rsidP="00B14FA3">
            <w:pPr>
              <w:keepNext/>
              <w:ind w:firstLine="0"/>
              <w:jc w:val="left"/>
            </w:pPr>
            <w:r>
              <w:rPr>
                <w:color w:val="000000"/>
                <w:szCs w:val="21"/>
              </w:rPr>
              <w:t>0.377±0.009</w:t>
            </w:r>
          </w:p>
        </w:tc>
      </w:tr>
      <w:tr w:rsidR="00B10182" w14:paraId="66E7B953"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154878CA"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184E9A01" w14:textId="77777777" w:rsidR="00B14FA3" w:rsidRPr="00B14FA3" w:rsidRDefault="00B14FA3" w:rsidP="00B14FA3">
            <w:pPr>
              <w:keepNext/>
              <w:ind w:firstLine="0"/>
              <w:jc w:val="left"/>
            </w:pPr>
            <w:r>
              <w:rPr>
                <w:color w:val="000000"/>
                <w:szCs w:val="21"/>
              </w:rPr>
              <w:t>全局可学习权重</w:t>
            </w:r>
          </w:p>
        </w:tc>
        <w:tc>
          <w:tcPr>
            <w:tcW w:w="1200" w:type="dxa"/>
            <w:tcBorders>
              <w:top w:val="nil"/>
              <w:left w:val="nil"/>
              <w:bottom w:val="nil"/>
              <w:right w:val="nil"/>
            </w:tcBorders>
            <w:tcMar>
              <w:top w:w="55" w:type="dxa"/>
              <w:left w:w="70" w:type="dxa"/>
              <w:bottom w:w="55" w:type="dxa"/>
              <w:right w:w="70" w:type="dxa"/>
            </w:tcMar>
            <w:vAlign w:val="center"/>
            <w:hideMark/>
          </w:tcPr>
          <w:p w14:paraId="1A76C9D2" w14:textId="77777777" w:rsidR="00B14FA3" w:rsidRPr="00B14FA3" w:rsidRDefault="00B14FA3" w:rsidP="00B14FA3">
            <w:pPr>
              <w:keepNext/>
              <w:ind w:firstLine="0"/>
              <w:jc w:val="left"/>
            </w:pPr>
            <w:r>
              <w:rPr>
                <w:color w:val="000000"/>
                <w:szCs w:val="21"/>
              </w:rPr>
              <w:t>8211</w:t>
            </w:r>
          </w:p>
        </w:tc>
        <w:tc>
          <w:tcPr>
            <w:tcW w:w="2000" w:type="dxa"/>
            <w:tcBorders>
              <w:top w:val="nil"/>
              <w:left w:val="nil"/>
              <w:bottom w:val="nil"/>
              <w:right w:val="nil"/>
            </w:tcBorders>
            <w:tcMar>
              <w:top w:w="55" w:type="dxa"/>
              <w:left w:w="70" w:type="dxa"/>
              <w:bottom w:w="55" w:type="dxa"/>
              <w:right w:w="70" w:type="dxa"/>
            </w:tcMar>
            <w:vAlign w:val="center"/>
            <w:hideMark/>
          </w:tcPr>
          <w:p w14:paraId="5A292C45" w14:textId="77777777" w:rsidR="00B14FA3" w:rsidRPr="00B14FA3" w:rsidRDefault="00B14FA3" w:rsidP="00B14FA3">
            <w:pPr>
              <w:keepNext/>
              <w:ind w:firstLine="0"/>
              <w:jc w:val="left"/>
            </w:pPr>
            <w:r>
              <w:rPr>
                <w:color w:val="000000"/>
                <w:szCs w:val="21"/>
              </w:rPr>
              <w:t>0.446±0.014</w:t>
            </w:r>
          </w:p>
        </w:tc>
        <w:tc>
          <w:tcPr>
            <w:tcW w:w="2000" w:type="dxa"/>
            <w:tcBorders>
              <w:top w:val="nil"/>
              <w:left w:val="nil"/>
              <w:bottom w:val="nil"/>
              <w:right w:val="nil"/>
            </w:tcBorders>
            <w:tcMar>
              <w:top w:w="55" w:type="dxa"/>
              <w:left w:w="70" w:type="dxa"/>
              <w:bottom w:w="55" w:type="dxa"/>
              <w:right w:w="70" w:type="dxa"/>
            </w:tcMar>
            <w:vAlign w:val="center"/>
            <w:hideMark/>
          </w:tcPr>
          <w:p w14:paraId="789428A2" w14:textId="77777777" w:rsidR="00B14FA3" w:rsidRPr="00B14FA3" w:rsidRDefault="00B14FA3" w:rsidP="00B14FA3">
            <w:pPr>
              <w:keepNext/>
              <w:ind w:firstLine="0"/>
              <w:jc w:val="left"/>
            </w:pPr>
            <w:r>
              <w:rPr>
                <w:color w:val="000000"/>
                <w:szCs w:val="21"/>
              </w:rPr>
              <w:t>0.377±0.009</w:t>
            </w:r>
          </w:p>
        </w:tc>
      </w:tr>
      <w:tr w:rsidR="00B10182" w14:paraId="66E7B953"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154878CA"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184E9A01" w14:textId="77777777" w:rsidR="00B14FA3" w:rsidRPr="00B14FA3" w:rsidRDefault="00B14FA3" w:rsidP="00B14FA3">
            <w:pPr>
              <w:keepNext/>
              <w:ind w:firstLine="0"/>
              <w:jc w:val="left"/>
            </w:pPr>
            <w:r>
              <w:rPr>
                <w:color w:val="000000"/>
                <w:szCs w:val="21"/>
              </w:rPr>
              <w:t>恒定输入路由</w:t>
            </w:r>
          </w:p>
        </w:tc>
        <w:tc>
          <w:tcPr>
            <w:tcW w:w="1200" w:type="dxa"/>
            <w:tcBorders>
              <w:top w:val="nil"/>
              <w:left w:val="nil"/>
              <w:bottom w:val="nil"/>
              <w:right w:val="nil"/>
            </w:tcBorders>
            <w:tcMar>
              <w:top w:w="55" w:type="dxa"/>
              <w:left w:w="70" w:type="dxa"/>
              <w:bottom w:w="55" w:type="dxa"/>
              <w:right w:w="70" w:type="dxa"/>
            </w:tcMar>
            <w:vAlign w:val="center"/>
            <w:hideMark/>
          </w:tcPr>
          <w:p w14:paraId="1A76C9D2"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5A292C45" w14:textId="77777777" w:rsidR="00B14FA3" w:rsidRPr="00B14FA3" w:rsidRDefault="00B14FA3" w:rsidP="00B14FA3">
            <w:pPr>
              <w:keepNext/>
              <w:ind w:firstLine="0"/>
              <w:jc w:val="left"/>
            </w:pPr>
            <w:r>
              <w:rPr>
                <w:color w:val="000000"/>
                <w:szCs w:val="21"/>
              </w:rPr>
              <w:t>0.449±0.012</w:t>
            </w:r>
          </w:p>
        </w:tc>
        <w:tc>
          <w:tcPr>
            <w:tcW w:w="2000" w:type="dxa"/>
            <w:tcBorders>
              <w:top w:val="nil"/>
              <w:left w:val="nil"/>
              <w:bottom w:val="nil"/>
              <w:right w:val="nil"/>
            </w:tcBorders>
            <w:tcMar>
              <w:top w:w="55" w:type="dxa"/>
              <w:left w:w="70" w:type="dxa"/>
              <w:bottom w:w="55" w:type="dxa"/>
              <w:right w:w="70" w:type="dxa"/>
            </w:tcMar>
            <w:vAlign w:val="center"/>
            <w:hideMark/>
          </w:tcPr>
          <w:p w14:paraId="789428A2" w14:textId="77777777" w:rsidR="00B14FA3" w:rsidRPr="00B14FA3" w:rsidRDefault="00B14FA3" w:rsidP="00B14FA3">
            <w:pPr>
              <w:keepNext/>
              <w:ind w:firstLine="0"/>
              <w:jc w:val="left"/>
            </w:pPr>
            <w:r>
              <w:rPr>
                <w:color w:val="000000"/>
                <w:szCs w:val="21"/>
              </w:rPr>
              <w:t>0.379±0.007</w:t>
            </w:r>
          </w:p>
        </w:tc>
      </w:tr>
      <w:tr w:rsidR="00B10182" w14:paraId="25E1F678"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62BD8356" w14:textId="77777777" w:rsidR="00B14FA3" w:rsidRPr="00B14FA3" w:rsidRDefault="00B14FA3" w:rsidP="00B14FA3">
            <w:pPr>
              <w:keepNext w:val="0"/>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1B646072" w14:textId="77777777" w:rsidR="00B14FA3" w:rsidRPr="00B14FA3" w:rsidRDefault="00B14FA3" w:rsidP="00B14FA3">
            <w:pPr>
              <w:keepNext w:val="0"/>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74D4C5F6" w14:textId="77777777" w:rsidR="00B14FA3" w:rsidRPr="00B14FA3" w:rsidRDefault="00B14FA3" w:rsidP="00B14FA3">
            <w:pPr>
              <w:keepNext w:val="0"/>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21BB5253" w14:textId="77777777" w:rsidR="00B14FA3" w:rsidRPr="00B14FA3" w:rsidRDefault="00B14FA3" w:rsidP="00B14FA3">
            <w:pPr>
              <w:keepNext w:val="0"/>
              <w:ind w:firstLine="0"/>
              <w:jc w:val="left"/>
            </w:pPr>
            <w:r>
              <w:rPr>
                <w:color w:val="000000"/>
                <w:szCs w:val="21"/>
              </w:rPr>
              <w:t>0.426±0.029</w:t>
            </w:r>
          </w:p>
        </w:tc>
        <w:tc>
          <w:tcPr>
            <w:tcW w:w="2000" w:type="dxa"/>
            <w:tcBorders>
              <w:top w:val="nil"/>
              <w:left w:val="nil"/>
              <w:bottom w:val="nil"/>
              <w:right w:val="nil"/>
            </w:tcBorders>
            <w:tcMar>
              <w:top w:w="55" w:type="dxa"/>
              <w:left w:w="70" w:type="dxa"/>
              <w:bottom w:w="55" w:type="dxa"/>
              <w:right w:w="70" w:type="dxa"/>
            </w:tcMar>
            <w:vAlign w:val="center"/>
            <w:hideMark/>
          </w:tcPr>
          <w:p w14:paraId="2A51F99E" w14:textId="77777777" w:rsidR="00B14FA3" w:rsidRPr="00B14FA3" w:rsidRDefault="00B14FA3" w:rsidP="00B14FA3">
            <w:pPr>
              <w:keepNext w:val="0"/>
              <w:ind w:firstLine="0"/>
              <w:jc w:val="left"/>
            </w:pPr>
            <w:r>
              <w:rPr>
                <w:color w:val="000000"/>
                <w:szCs w:val="21"/>
              </w:rPr>
              <w:t>0.366±0.018</w:t>
            </w:r>
          </w:p>
        </w:tc>
      </w:tr>
    </w:tbl>
    <w:p>
      <w:pPr/>
      <w:r>
        <w:t>全局可学习权重与恒定输入路由均对所有窗口使用一组可学习权重，后者与本文方法同为8339个标称参数。相对这两种对照，本文方法在Abilene上的逐种子平均MSE改进均约1.80%，在GÉANT上分别为4.31%和4.97%，各有6/8和7/8个种子胜出。相对恒定输入路由的95%置信区间分别为[0.49%,3.11%]和[−1.62%,11.56%]，相对全局权重则为[0.01%,3.58%]和[−2.51%,11.13%]；GÉANT两项区间均跨零。</w:t>
      </w:r>
    </w:p>
    <w:p w14:paraId="68B92BCA" w14:textId="77777777" w:rsidR="00B14FA3" w:rsidRPr="00B14FA3" w:rsidRDefault="00B14FA3" w:rsidP="00B14FA3">
      <w:pPr>
        <w:keepLines/>
      </w:pPr>
      <w:r>
        <w:rPr>
          <w:color w:val="000000"/>
          <w:szCs w:val="21"/>
        </w:rPr>
        <w:t>图3以DLinear和固定等权多尺度模型为对照，列出随机种子42～49的MSE、MAE及RMSE相对改进率。两种方法误差相等的位置由0%虚线标出，据此判断改进方向。各随机种子的结果用散点表示，8次结果的分布由半小提琴汇总。黑色菱形和横向误差线分别表示8次改进率均值及其95%置信区间。相对DLinear时，Abilene的MSE、MAE和RMSE平均改进率为2.77%、8.01%和1.40%，其中MSE与RMSE在8次实验中均改善；GÉANT分别为2.35%、1.32%和1.22%，且跨越0%的情况更多。相对固定等权模型时，Abilene三项指标的平均改进率为1.65%、8.92%和0.84%，GÉANT为4.54%、3.05%和2.37%。两种基线下的平均改进率均为正值，图3同时展示了不同随机种子的结果分布。</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22D1C830" w14:textId="77777777" w:rsidR="00B14FA3" w:rsidRPr="00B14FA3" w:rsidRDefault="00B14FA3" w:rsidP="00B14FA3">
      <w:pPr>
        <w:keepNext/>
        <w:spacing w:before="60"/>
        <w:ind w:firstLine="0"/>
        <w:jc w:val="center"/>
      </w:pPr>
      <w:r>
        <w:drawing>
          <wp:inline xmlns:a="http://schemas.openxmlformats.org/drawingml/2006/main" xmlns:pic="http://schemas.openxmlformats.org/drawingml/2006/picture">
            <wp:extent cx="5715000" cy="2663571"/>
            <wp:docPr id="28" name="Picture 28"/>
            <wp:cNvGraphicFramePr>
              <a:graphicFrameLocks noChangeAspect="1"/>
            </wp:cNvGraphicFramePr>
            <a:graphic>
              <a:graphicData uri="http://schemas.openxmlformats.org/drawingml/2006/picture">
                <pic:pic>
                  <pic:nvPicPr>
                    <pic:cNvPr id="0" name="fig3_relative_improvement_classic.png"/>
                    <pic:cNvPicPr/>
                  </pic:nvPicPr>
                  <pic:blipFill>
                    <a:blip r:embed="rId24"/>
                    <a:stretch>
                      <a:fillRect/>
                    </a:stretch>
                  </pic:blipFill>
                  <pic:spPr>
                    <a:xfrm>
                      <a:off x="0" y="0"/>
                      <a:ext cx="5715000" cy="2663571"/>
                    </a:xfrm>
                    <a:prstGeom prst="rect"/>
                  </pic:spPr>
                </pic:pic>
              </a:graphicData>
            </a:graphic>
          </wp:inline>
        </w:drawing>
      </w:r>
    </w:p>
    <w:p w14:paraId="64F9B12D" w14:textId="77777777" w:rsidR="00B14FA3" w:rsidRPr="00B14FA3" w:rsidRDefault="00B14FA3" w:rsidP="00B14FA3">
      <w:pPr>
        <w:keepLines/>
        <w:spacing w:before="60" w:after="80"/>
        <w:ind w:firstLine="0"/>
        <w:jc w:val="center"/>
      </w:pPr>
      <w:r>
        <w:rPr>
          <w:rFonts w:eastAsia="黑体"/>
          <w:b/>
          <w:sz w:val="18"/>
          <w:szCs w:val="18"/>
        </w:rPr>
        <w:t>图3 Abilene与GÉANT上本文方法相对两类基线的八随机种子多指标相对改进分布</w:t>
      </w:r>
      <w:r>
        <w:rPr>
          <w:rFonts w:eastAsia="黑体"/>
          <w:b/>
          <w:sz w:val="18"/>
          <w:szCs w:val="18"/>
        </w:rPr>
      </w:r>
      <w:r>
        <w:rPr>
          <w:rFonts w:eastAsia="黑体"/>
          <w:b/>
          <w:sz w:val="18"/>
          <w:szCs w:val="18"/>
        </w:rPr>
      </w:r>
      <w:r>
        <w:rPr>
          <w:rFonts w:eastAsia="黑体"/>
          <w:b/>
          <w:sz w:val="18"/>
          <w:szCs w:val="18"/>
        </w:rPr>
      </w:r>
    </w:p>
    <w:p>
      <w:pPr>
        <w:widowControl/>
      </w:pPr>
      <w:r>
        <w:t>等权融合采用固定等权模型检验。全局可学习权重与恒定输入路由作为两类常权重对照，用于考察融合方式改变后的误差。表3中本文方法相对两者的平均MSE均较低，但GÉANT的配对区间均跨越零；其中种子43相对恒定输入路由退步12.78%。两类对照共同显示，本文方法在八次重复实验中的平均MSE较低。图4进一步汇总全测试点的整体偏差，并用按真实值波动选取的预测轨迹考察局部误差。</w:t>
      </w:r>
    </w:p>
    <w:p w14:paraId="5A0F0016"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2.5 预测行为与尺度权重分析</w:t>
      </w:r>
      <w:r>
        <w:rPr>
          <w:rFonts w:ascii="Arial" w:eastAsia="黑体" w:hAnsi="Arial"/>
          <w:b/>
          <w:bCs/>
          <w:color w:val="000000"/>
          <w:szCs w:val="21"/>
        </w:rPr>
      </w:r>
    </w:p>
    <w:p w14:paraId="22D1C830" w14:textId="77777777" w:rsidR="00B14FA3" w:rsidRPr="00B14FA3" w:rsidRDefault="00B14FA3" w:rsidP="00B14FA3">
      <w:pPr>
        <w:keepNext/>
        <w:spacing w:before="60"/>
        <w:ind w:firstLine="0"/>
        <w:jc w:val="center"/>
      </w:pPr>
      <w:r>
        <w:drawing>
          <wp:inline xmlns:a="http://schemas.openxmlformats.org/drawingml/2006/main" xmlns:pic="http://schemas.openxmlformats.org/drawingml/2006/picture">
            <wp:extent cx="5349240" cy="3913661"/>
            <wp:docPr id="30" name="Picture 30"/>
            <wp:cNvGraphicFramePr>
              <a:graphicFrameLocks noChangeAspect="1"/>
            </wp:cNvGraphicFramePr>
            <a:graphic>
              <a:graphicData uri="http://schemas.openxmlformats.org/drawingml/2006/picture">
                <pic:pic>
                  <pic:nvPicPr>
                    <pic:cNvPr id="0" name="fig4_calibration_plus_constant_router.png"/>
                    <pic:cNvPicPr/>
                  </pic:nvPicPr>
                  <pic:blipFill>
                    <a:blip r:embed="rId29"/>
                    <a:stretch>
                      <a:fillRect/>
                    </a:stretch>
                  </pic:blipFill>
                  <pic:spPr>
                    <a:xfrm>
                      <a:off x="0" y="0"/>
                      <a:ext cx="5349240" cy="3913661"/>
                    </a:xfrm>
                    <a:prstGeom prst="rect"/>
                  </pic:spPr>
                </pic:pic>
              </a:graphicData>
            </a:graphic>
          </wp:inline>
        </w:drawing>
      </w:r>
    </w:p>
    <w:p w14:paraId="64F9B12D" w14:textId="77777777" w:rsidR="00B14FA3" w:rsidRPr="00B14FA3" w:rsidRDefault="00B14FA3" w:rsidP="00B14FA3">
      <w:pPr>
        <w:keepNext w:val="0"/>
        <w:keepLines/>
        <w:spacing w:before="60" w:after="80"/>
        <w:ind w:firstLine="0"/>
        <w:jc w:val="center"/>
      </w:pPr>
      <w:r>
        <w:rPr>
          <w:rFonts w:eastAsia="黑体"/>
          <w:b/>
          <w:sz w:val="18"/>
          <w:szCs w:val="18"/>
        </w:rPr>
        <w:t>图4 Abilene与GÉANT全测试点预测校准及典型窗口预测轨迹</w:t>
      </w:r>
      <w:r>
        <w:rPr>
          <w:rFonts w:eastAsia="黑体"/>
          <w:b/>
          <w:sz w:val="18"/>
          <w:szCs w:val="18"/>
        </w:rPr>
      </w:r>
      <w:r>
        <w:rPr>
          <w:rFonts w:eastAsia="黑体"/>
          <w:b/>
          <w:sz w:val="18"/>
          <w:szCs w:val="18"/>
        </w:rPr>
      </w:r>
      <w:r>
        <w:rPr>
          <w:rFonts w:eastAsia="黑体"/>
          <w:b/>
          <w:sz w:val="18"/>
          <w:szCs w:val="18"/>
        </w:rPr>
      </w:r>
    </w:p>
    <w:p>
      <w:pPr>
        <w:keepNext w:val="0"/>
        <w:keepLines/>
      </w:pPr>
      <w:r>
        <w:t>图4(a、b)汇总随机种子42～49的全部测试窗口，覆盖24个预测步和全部有效OD通道。真实值按分位点分为最多40个区间，四种模型分别在区间内汇总8种子的预测值并取平均，由这些分组平均值构成曲线。灰色虚线给出理想预测位置，浅色带给出种子间±1个标准差。高真实值区间中，四种模型的分组预测值均偏低，本文方法的平均偏差相对较小。图4(c～f)固定随机种子42，先依据真实序列选取标准差接近第75百分位的OD通道，再选波动程度接近中位数和第90百分位的窗口。通道及窗口的选择均不依据模型误差，只使用真实序列。本文方法在四例中的三例取得较低的24步均方误差，均低于DLinear、固定等权和恒定输入路由模型；Abilene典型波动窗口是例外，本文方法在该例中较差。图4以分组结果和典型轨迹展示预测行为，整体误差结果见表3。</w:t>
      </w:r>
    </w:p>
    <w:p w14:paraId="0C8325AF" w14:textId="77777777" w:rsidR="00B14FA3" w:rsidRPr="00B14FA3" w:rsidRDefault="00B14FA3" w:rsidP="00B14FA3">
      <w:r>
        <w:rPr>
          <w:color w:val="000000"/>
          <w:szCs w:val="21"/>
        </w:rPr>
        <w:t>随机种子42～49的三个尺度权重见图5，小提琴分布包含全部测试窗口与种子。蓝、绿、橙色分别表示尺度1、2和4。彩色散点显示同一种子在全部测试窗口上的平均权重。对8个种子的这些均值再计算均值±1个标准差，以黑色菱形和误差线表示；固定等权1/3与汇总分布中位数分别用水平虚线及短横线标示。小提琴宽度同时反映种子间和窗口间的权重差异。</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pPr>
        <w:keepNext/>
        <w:jc w:val="center"/>
      </w:pPr>
      <w:r>
        <w:drawing>
          <wp:inline xmlns:a="http://schemas.openxmlformats.org/drawingml/2006/main" xmlns:pic="http://schemas.openxmlformats.org/drawingml/2006/picture">
            <wp:extent cx="5715000" cy="2534454"/>
            <wp:docPr id="29" name="Picture 29"/>
            <wp:cNvGraphicFramePr>
              <a:graphicFrameLocks noChangeAspect="1"/>
            </wp:cNvGraphicFramePr>
            <a:graphic>
              <a:graphicData uri="http://schemas.openxmlformats.org/drawingml/2006/picture">
                <pic:pic>
                  <pic:nvPicPr>
                    <pic:cNvPr id="0" name="fig5_router_weights_classic.png"/>
                    <pic:cNvPicPr/>
                  </pic:nvPicPr>
                  <pic:blipFill>
                    <a:blip r:embed="rId25"/>
                    <a:stretch>
                      <a:fillRect/>
                    </a:stretch>
                  </pic:blipFill>
                  <pic:spPr>
                    <a:xfrm>
                      <a:off x="0" y="0"/>
                      <a:ext cx="5715000" cy="2534454"/>
                    </a:xfrm>
                    <a:prstGeom prst="rect"/>
                  </pic:spPr>
                </pic:pic>
              </a:graphicData>
            </a:graphic>
          </wp:inline>
        </w:drawing>
      </w:r>
    </w:p>
    <w:p>
      <w:pPr>
        <w:keepNext w:val="0"/>
        <w:keepLines/>
        <w:spacing w:before="60" w:after="80"/>
        <w:ind w:firstLine="0"/>
        <w:jc w:val="center"/>
      </w:pPr>
      <w:r>
        <w:rPr>
          <w:rFonts w:eastAsia="黑体"/>
          <w:b/>
          <w:sz w:val="18"/>
          <w:szCs w:val="18"/>
        </w:rPr>
        <w:t>图5 Abilene与GÉANT的逐窗口路由权重汇总分布及八种子均值</w:t>
      </w:r>
    </w:p>
    <w:p>
      <w:pPr>
        <w:keepLines/>
      </w:pPr>
      <w:r>
        <w:rPr>
          <w:color w:val="000000"/>
          <w:szCs w:val="21"/>
        </w:rPr>
        <w:t>三个尺度在Abilene上的汇总平均权重依次为0.257、0.319和0.424，在GÉANT上依次为0.283、0.318和0.399。这些总体均值均偏离固定等权的1/3。从汇总权重方差的来源看，GÉANT三个尺度中约96.2%、95.8%和97.7%的方差来自种子间差异。Abilene对应的比例分别为48.7%、86.1%和80.6%。在GÉANT的同一种子内部，随窗口发生的权重变化较小。图5显示了不同尺度的总体权重偏好及其在随机种子间的变化。</w:t>
      </w:r>
    </w:p>
    <w:p w14:paraId="2B7D35DC" w14:textId="77777777" w:rsidR="00B14FA3" w:rsidRPr="00B14FA3" w:rsidRDefault="00B14FA3" w:rsidP="00B14FA3">
      <w:r>
        <w:rPr>
          <w:color w:val="000000"/>
          <w:szCs w:val="21"/>
        </w:rPr>
        <w:t>输入窗口的波动强度由平均绝对一阶差分度量。分组阈值取自训练窗口的三分位数，测试窗口按这些阈值分组。Abilene低、中、高波动组分别有15、406、392个窗口。本文方法相对全局权重模型的逐种子平均MSE改进率分别为4.43%、1.90%、1.69%；GÉANT在训练阈值下无低波动测试窗口，中、高组分别有76、375个窗口，改进率为5.85%和4.06%。在Abilene上，高波动组的尺度1平均权重高于中波动组，而相应的误差优势没有增强。GÉANT中波动组与高波动组的权重则近似相同。分组结果表明，不同波动条件下的误差改善幅度有所差异。</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5A0F0016"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2.6 运行开销与网络管理应用讨论</w:t>
      </w:r>
    </w:p>
    <w:p>
      <w:pPr>
        <w:keepNext w:val="0"/>
        <w:keepLines/>
      </w:pPr>
      <w:r>
        <w:t>单尺度DLinear含4656个可训练参数，使用三个尺度专家的固定等权模型含8208个。在固定等权结构上加入三个全局权重参数后，参数总数为8211个；样本级路由和恒定输入路由的标称参数数目均为8339个。与固定等权及全局权重模型相比，路由网络分别增加131个和128个参数。恒定输入路由虽然保留样本级路由的网络结构，恒为零的输入却使首层输入权重不参与有效计算。</w:t>
      </w:r>
    </w:p>
    <w:p>
      <w:pPr>
        <w:keepNext w:val="0"/>
        <w:keepLines/>
      </w:pPr>
      <w:r>
        <w:t>使用预测长度为24的8个随机种子检查点单独测量前向计算开销。计时运行于NVIDIA GTX 1060，预先加载测试张量，并将批量大小设为16。本文方法在Abilene和GÉANT上的平均每批前向耗时分别为2.65 ms和2.61 ms，固定等权模型分别为2.38 ms和2.10 ms，单尺度DLinear分别为0.77 ms和0.70 ms。上述结果对应预加载张量条件下的模型前向计算，展示了多尺度预测结构的运行开销。</w:t>
      </w:r>
    </w:p>
    <w:p>
      <w:pPr>
        <w:keepNext w:val="0"/>
        <w:keepLines/>
      </w:pPr>
      <w:r>
        <w:t>应用时，可由运维模块定期读取小时级历史OD序列，调用预测模型生成未来一天的需求估计，辅助观察高需求时段与容量变化。预测输出可供网络运维人员识别需求变化，并为容量规划提供数据参考。</w:t>
      </w:r>
    </w:p>
    <w:p>
      <w:pPr>
        <w:keepNext w:val="0"/>
        <w:keepLines/>
      </w:pPr>
      <w:r>
        <w:t>图4显示各模型在高真实值区间仍有低估，本文方法的分组平均偏差相对较小。高需求区间的分组平均偏差较小，有助于在流量趋势分析中观察模型对峰值需求的刻画。</w:t>
      </w:r>
    </w:p>
    <w:p>
      <w:pPr>
        <w:keepNext w:val="0"/>
        <w:keepLines/>
      </w:pPr>
      <w:r>
        <w:t>实际使用还需将预测恢复到原始流量量纲，并结合拓扑、路由和链路容量，才能由OD需求进一步分析链路负载。本文的实验评估以标准化OD流量预测为对象；将预测结果接入网络管理系统时，可结合业务所需的拓扑与容量信息使用。</w:t>
      </w:r>
    </w:p>
    <w:p w14:paraId="7D87F862" w14:textId="77777777" w:rsidR="00B14FA3" w:rsidRPr="00B14FA3" w:rsidRDefault="00B14FA3" w:rsidP="00B14FA3">
      <w:pPr>
        <w:keepNext/>
        <w:widowControl/>
        <w:spacing w:before="120" w:after="40"/>
        <w:ind w:firstLine="0"/>
        <w:jc w:val="left"/>
        <w:rPr>
          <w:rFonts w:eastAsia="黑体"/>
          <w:b/>
          <w:kern w:val="0"/>
          <w:sz w:val="28"/>
          <w:szCs w:val="20"/>
        </w:rPr>
      </w:pPr>
      <w:r w:rsidRPr="00B14FA3">
        <w:rPr>
          <w:rFonts w:ascii="Arial" w:eastAsia="黑体" w:hAnsi="Arial"/>
          <w:b/>
          <w:color w:val="000000"/>
          <w:kern w:val="0"/>
          <w:sz w:val="24"/>
          <w:szCs w:val="20"/>
        </w:rPr>
        <w:t xml:space="preserve">3 </w:t>
      </w:r>
      <w:r w:rsidRPr="00B14FA3">
        <w:rPr>
          <w:rFonts w:ascii="Arial" w:eastAsia="黑体" w:hAnsi="Arial"/>
          <w:b/>
          <w:color w:val="000000"/>
          <w:kern w:val="0"/>
          <w:sz w:val="24"/>
          <w:szCs w:val="20"/>
        </w:rPr>
        <w:t>结论</w:t>
      </w:r>
    </w:p>
    <w:p w14:paraId="6450C208" w14:textId="77777777" w:rsidR="00B14FA3" w:rsidRPr="00B14FA3" w:rsidRDefault="00B14FA3" w:rsidP="00B14FA3">
      <w:r>
        <w:rPr>
          <w:color w:val="000000"/>
          <w:szCs w:val="21"/>
        </w:rPr>
        <w:t>本文构建了处理骨干网络OD流量短时波动与较慢趋势的多尺度预测结构。尺度1、2和4的DLinear专家独立预测，轻量路由网络根据输入计算融合权重，将各专家结果组合为最终输出。预测长度为24时，在Abilene和GÉANT两套实验中，本文方法的平均误差均低于作为比较对象的DLinear、LightTS和固定等权模型。相对全局可学习权重与恒定输入路由两类常权重对照，本文方法在Abilene上的逐种子平均MSE改进均约1.80%；GÉANT上的对应改进分别为4.31%和4.97%。</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6450C208" w14:textId="77777777" w:rsidR="00B14FA3" w:rsidRPr="00B14FA3" w:rsidRDefault="00B14FA3" w:rsidP="00B14FA3">
      <w:r>
        <w:rPr>
          <w:color w:val="000000"/>
          <w:szCs w:val="21"/>
        </w:rPr>
        <w:t>按真实值分组的校准结果表明，各模型在高流量端仍有低估，本文方法的平均偏差相对较小。结合较小的模型参数量和前向计算开销，本文方法可为小时级骨干网需求分析与容量规划提供预测参考。</w:t>
      </w:r>
    </w:p>
    <w:p w14:paraId="6450C208" w14:textId="77777777" w:rsidR="00B14FA3" w:rsidRPr="00B14FA3" w:rsidRDefault="00B14FA3" w:rsidP="00B14FA3">
      <w:r>
        <w:rPr>
          <w:color w:val="000000"/>
          <w:szCs w:val="21"/>
        </w:rPr>
        <w:t>后续可在更多网络数据和预测设置下考察该方法的适用性。</w:t>
      </w:r>
    </w:p>
    <w:p w14:paraId="0930A59F" w14:textId="77777777" w:rsidR="00B14FA3" w:rsidRPr="00B14FA3" w:rsidRDefault="00B14FA3" w:rsidP="00B14FA3">
      <w:pPr>
        <w:keepNext/>
        <w:pageBreakBefore/>
        <w:widowControl/>
        <w:spacing w:before="120" w:after="40"/>
        <w:ind w:firstLine="0"/>
        <w:jc w:val="left"/>
        <w:rPr>
          <w:rFonts w:eastAsia="黑体"/>
          <w:b/>
          <w:kern w:val="0"/>
          <w:sz w:val="28"/>
          <w:szCs w:val="20"/>
        </w:rPr>
      </w:pPr>
      <w:r w:rsidRPr="00B14FA3">
        <w:rPr>
          <w:rFonts w:eastAsia="黑体"/>
          <w:b/>
          <w:kern w:val="0"/>
          <w:sz w:val="28"/>
          <w:szCs w:val="20"/>
        </w:rPr>
        <w:t>参考文献</w:t>
      </w:r>
    </w:p>
    <w:p w14:paraId="2A4E69C7" w14:textId="77777777" w:rsidR="00B14FA3" w:rsidRPr="00B14FA3" w:rsidRDefault="00B14FA3" w:rsidP="00B14FA3">
      <w:pPr>
        <w:keepLines/>
        <w:ind w:left="420" w:hanging="420"/>
      </w:pPr>
      <w:bookmarkStart w:id="1" w:name="OLE_LINK4"/>
      <w:r w:rsidRPr="00B14FA3">
        <w:rPr>
          <w:sz w:val="18"/>
        </w:rPr>
        <w:t>[1] LOHRASBINASAB I, KESHAVARZ A, AMIN-NEJAD S, et al. From statistical- to machine learning-based network traffic prediction[J]. Transactions on Emerging Telecommunications Technologies, 2022, 33(4): e4394. DOI: 10.1002/ett.4394.</w:t>
      </w:r>
    </w:p>
    <w:p w14:paraId="1D3CC6CB" w14:textId="77777777" w:rsidR="00B14FA3" w:rsidRPr="00B14FA3" w:rsidRDefault="00B14FA3" w:rsidP="00B14FA3">
      <w:pPr>
        <w:keepLines/>
        <w:ind w:left="420" w:hanging="420"/>
      </w:pPr>
      <w:r w:rsidRPr="00B14FA3">
        <w:rPr>
          <w:sz w:val="18"/>
        </w:rPr>
        <w:t>[2] QIN L, GU H, WEI W, et al. Spatio-temporal communication network traffic prediction method based on graph neural network[J]. Information Sciences, 2024, 679: 121003. DOI: 10.1016/j.ins.2024.121003.</w:t>
      </w:r>
    </w:p>
    <w:p w14:paraId="49ABA0AF" w14:textId="77777777" w:rsidR="00B14FA3" w:rsidRPr="00B14FA3" w:rsidRDefault="00B14FA3" w:rsidP="00B14FA3">
      <w:pPr>
        <w:keepLines/>
        <w:ind w:left="420" w:hanging="420"/>
      </w:pPr>
      <w:r>
        <w:rPr>
          <w:sz w:val="18"/>
        </w:rPr>
        <w:t>[3] 韦烜, 刘志华, 李青, 等. 大型IP网络流量矩阵分析预测的探讨研究[J]. 系统工程与电子技术, 2024, 46(6): 2164-2173. DOI: 10.12305/j.issn.1001-506X.2024.06.35.</w:t>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p>
    <w:p w14:paraId="58403822" w14:textId="77777777" w:rsidR="00B14FA3" w:rsidRPr="00B14FA3" w:rsidRDefault="00B14FA3" w:rsidP="00B14FA3">
      <w:pPr>
        <w:keepLines/>
        <w:ind w:left="420" w:hanging="420"/>
      </w:pPr>
      <w:r>
        <w:rPr>
          <w:sz w:val="18"/>
        </w:rPr>
        <w:t>[4] 唐文杰, 肖一磊, 孔祥宇, 等. CycleLLH：一种基于周期性整合的新型网络流量预测模型[J]. 计算机学报, 2024, 47(12): 2867-2888. DOI: 10.11897/SP.J.1016.2024.02867.</w:t>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p>
    <w:p w14:paraId="3FA328DF" w14:textId="77777777" w:rsidR="00B14FA3" w:rsidRPr="00B14FA3" w:rsidRDefault="00B14FA3" w:rsidP="00B14FA3">
      <w:pPr>
        <w:keepLines/>
        <w:ind w:left="420" w:hanging="420"/>
      </w:pPr>
      <w:r w:rsidRPr="00B14FA3">
        <w:rPr>
          <w:sz w:val="18"/>
        </w:rPr>
        <w:t>[5] ZHOU J, HAN T, XIAO F, et al. Multiscale network traffic prediction method based on deep echo-state network for Internet of Things[J]. IEEE Internet of Things Journal, 2022, 9(21): 21862-21874. DOI: 10.1109/JIOT.2022.3181807.</w:t>
      </w:r>
    </w:p>
    <w:p w14:paraId="7163C5A8" w14:textId="77777777" w:rsidR="00B14FA3" w:rsidRPr="00B14FA3" w:rsidRDefault="00B14FA3" w:rsidP="00B14FA3">
      <w:pPr>
        <w:keepLines/>
        <w:ind w:left="420" w:hanging="420"/>
      </w:pPr>
      <w:r w:rsidRPr="00B14FA3">
        <w:rPr>
          <w:sz w:val="18"/>
        </w:rPr>
        <w:t>[6] ZENG A, CHEN M, ZHANG L, et al. Are transformers effective for time series forecasting?[C]//Proceedings of the AAAI Conference on Artificial Intelligence. 2023, 37(9): 11121-11128. DOI: 10.1609/aaai.v37i9.26317.</w:t>
      </w:r>
    </w:p>
    <w:p w14:paraId="1BA2A549" w14:textId="77777777" w:rsidR="00B14FA3" w:rsidRPr="00B14FA3" w:rsidRDefault="00B14FA3" w:rsidP="00B14FA3">
      <w:pPr>
        <w:keepLines/>
        <w:ind w:left="420" w:hanging="420"/>
      </w:pPr>
      <w:r>
        <w:rPr>
          <w:sz w:val="18"/>
        </w:rPr>
        <w:t>[7] WANG S, WU H, SHI X, et al. TimeMixer: decomposable multiscale mixing for time series forecasting[C]//International Conference on Learning Representations. 2024.</w:t>
      </w:r>
    </w:p>
    <w:p w14:paraId="32B65309" w14:textId="77777777" w:rsidR="00B14FA3" w:rsidRPr="00B14FA3" w:rsidRDefault="00B14FA3" w:rsidP="00B14FA3">
      <w:pPr>
        <w:keepLines/>
        <w:ind w:left="420" w:hanging="420"/>
      </w:pPr>
      <w:r>
        <w:rPr>
          <w:sz w:val="18"/>
        </w:rPr>
        <w:t>[8] ZHANG T, ZHANG Y, CAO W, et al. Less is more: fast multivariate time series forecasting with light sampling-oriented MLP structures[EB/OL]. (2022-07-04)[2026-09-20]. https://arxiv.org/abs/2207.01186. DOI: 10.48550/arXiv.2207.01186.</w:t>
      </w:r>
    </w:p>
    <w:p w14:paraId="32B65309" w14:textId="77777777" w:rsidR="00B14FA3" w:rsidRPr="00B14FA3" w:rsidRDefault="00B14FA3" w:rsidP="00B14FA3">
      <w:pPr>
        <w:keepLines/>
        <w:ind w:left="420" w:hanging="420"/>
      </w:pPr>
      <w:r>
        <w:rPr>
          <w:sz w:val="18"/>
        </w:rPr>
        <w:t>[9] KUREŠ M, KOUMAR J, HYNEK K. CESNET TS-Zoo: a library for reproducible analysis of network traffic time series[C]//2025 21st International Conference on Network and Service Management. 2025. DOI: 10.23919/CNSM67658.2025.11297513.</w:t>
      </w:r>
    </w:p>
    <w:p w14:paraId="32B65309" w14:textId="77777777" w:rsidR="00B14FA3" w:rsidRPr="00B14FA3" w:rsidRDefault="00B14FA3" w:rsidP="00B14FA3">
      <w:pPr>
        <w:keepLines/>
        <w:ind w:left="420" w:hanging="420"/>
      </w:pPr>
      <w:r>
        <w:rPr>
          <w:sz w:val="18"/>
        </w:rPr>
        <w:t>[10] ZHANG Y, ROUGHAN M, DUFFIELD N, et al. Fast accurate computation of large-scale IP traffic matrices from link loads[J]. ACM SIGMETRICS Performance Evaluation Review, 2003, 31(1): 206-217. DOI: 10.1145/885651.781053.</w:t>
      </w:r>
    </w:p>
    <w:p w14:paraId="32B65309" w14:textId="77777777" w:rsidR="00B14FA3" w:rsidRPr="00B14FA3" w:rsidRDefault="00B14FA3" w:rsidP="00B14FA3">
      <w:pPr>
        <w:keepLines/>
        <w:ind w:left="420" w:hanging="420"/>
      </w:pPr>
      <w:r>
        <w:rPr>
          <w:sz w:val="18"/>
        </w:rPr>
        <w:t>[11] UHLIG S, QUOITIN B, LEPROPRE J, et al. Providing public intradomain traffic matrices to the research community[J]. ACM SIGCOMM Computer Communication Review, 2006, 36(1): 83-86. DOI: 10.1145/1111322.1111341.</w:t>
      </w:r>
    </w:p>
    <w:bookmarkEnd w:id="1"/>
    <w:sectPr w:rsidR="003E35DB" w:rsidRPr="00B14FA3" w:rsidSect="00F23B67">
      <w:headerReference w:type="default" r:id="rId9"/>
      <w:footerReference w:type="first" r:id="rId10"/>
      <w:pgSz w:w="11906" w:h="16838"/>
      <w:pgMar w:top="1757" w:right="1134" w:bottom="1417" w:left="1134"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22EBF2" w14:textId="77777777" w:rsidR="00E407AF" w:rsidRDefault="00E407AF" w:rsidP="00F23B67">
      <w:r>
        <w:separator/>
      </w:r>
    </w:p>
  </w:endnote>
  <w:endnote w:type="continuationSeparator" w:id="0">
    <w:p w14:paraId="2C78B4FB" w14:textId="77777777" w:rsidR="00E407AF" w:rsidRDefault="00E407AF" w:rsidP="00F23B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1DB3E" w14:textId="77777777" w:rsidR="00F23B67" w:rsidRDefault="00F23B67">
    <w:pPr>
      <w:jc w:val="left"/>
    </w:pPr>
    <w:r>
      <w:rPr>
        <w:sz w:val="16"/>
      </w:rPr>
      <w:t>收稿日期：</w:t>
    </w:r>
    <w:r>
      <w:rPr>
        <w:sz w:val="16"/>
      </w:rPr>
      <w:t>[</w:t>
    </w:r>
    <w:r>
      <w:rPr>
        <w:sz w:val="16"/>
      </w:rPr>
      <w:t>请填写，格式</w:t>
    </w:r>
    <w:r>
      <w:rPr>
        <w:sz w:val="16"/>
      </w:rPr>
      <w:t>YYYY-MM-DD]</w:t>
    </w:r>
  </w:p>
  <w:p w14:paraId="66649098" w14:textId="77777777" w:rsidR="00F23B67" w:rsidRDefault="00F23B67">
    <w:pPr>
      <w:jc w:val="left"/>
    </w:pPr>
    <w:r>
      <w:rPr>
        <w:sz w:val="16"/>
      </w:rPr>
      <w:t>基金项目：</w:t>
    </w:r>
    <w:r>
      <w:rPr>
        <w:sz w:val="16"/>
      </w:rPr>
      <w:t>[</w:t>
    </w:r>
    <w:r>
      <w:rPr>
        <w:sz w:val="16"/>
      </w:rPr>
      <w:t>基金来源</w:t>
    </w:r>
    <w:r>
      <w:rPr>
        <w:sz w:val="16"/>
      </w:rPr>
      <w:t>]</w:t>
    </w:r>
    <w:r>
      <w:rPr>
        <w:sz w:val="16"/>
      </w:rPr>
      <w:t>（</w:t>
    </w:r>
    <w:r>
      <w:rPr>
        <w:sz w:val="16"/>
      </w:rPr>
      <w:t>[</w:t>
    </w:r>
    <w:r>
      <w:rPr>
        <w:sz w:val="16"/>
      </w:rPr>
      <w:t>基金项目编号</w:t>
    </w:r>
    <w:r>
      <w:rPr>
        <w:sz w:val="16"/>
      </w:rPr>
      <w:t>]</w:t>
    </w:r>
    <w:r>
      <w:rPr>
        <w:sz w:val="16"/>
      </w:rPr>
      <w:t>）</w:t>
    </w:r>
  </w:p>
  <w:p w14:paraId="3B0C0477" w14:textId="77777777" w:rsidR="00F23B67" w:rsidRDefault="00F23B67">
    <w:pPr>
      <w:jc w:val="left"/>
    </w:pPr>
    <w:r>
      <w:rPr>
        <w:sz w:val="16"/>
      </w:rPr>
      <w:t>第一作者简介：</w:t>
    </w:r>
    <w:r>
      <w:rPr>
        <w:sz w:val="16"/>
      </w:rPr>
      <w:t>[</w:t>
    </w:r>
    <w:r>
      <w:rPr>
        <w:sz w:val="16"/>
      </w:rPr>
      <w:t>姓名</w:t>
    </w:r>
    <w:r>
      <w:rPr>
        <w:sz w:val="16"/>
      </w:rPr>
      <w:t>]</w:t>
    </w:r>
    <w:r>
      <w:rPr>
        <w:sz w:val="16"/>
      </w:rPr>
      <w:t>（</w:t>
    </w:r>
    <w:r>
      <w:rPr>
        <w:sz w:val="16"/>
      </w:rPr>
      <w:t>[</w:t>
    </w:r>
    <w:r>
      <w:rPr>
        <w:sz w:val="16"/>
      </w:rPr>
      <w:t>出生年</w:t>
    </w:r>
    <w:r>
      <w:rPr>
        <w:sz w:val="16"/>
      </w:rPr>
      <w:t>]—</w:t>
    </w:r>
    <w:r>
      <w:rPr>
        <w:sz w:val="16"/>
      </w:rPr>
      <w:t>），</w:t>
    </w:r>
    <w:r>
      <w:rPr>
        <w:sz w:val="16"/>
      </w:rPr>
      <w:t>[</w:t>
    </w:r>
    <w:r>
      <w:rPr>
        <w:sz w:val="16"/>
      </w:rPr>
      <w:t>性别（民族，汉族可省略）</w:t>
    </w:r>
    <w:r>
      <w:rPr>
        <w:sz w:val="16"/>
      </w:rPr>
      <w:t>]</w:t>
    </w:r>
    <w:r>
      <w:rPr>
        <w:sz w:val="16"/>
      </w:rPr>
      <w:t>，</w:t>
    </w:r>
    <w:r>
      <w:rPr>
        <w:sz w:val="16"/>
      </w:rPr>
      <w:t>[</w:t>
    </w:r>
    <w:r>
      <w:rPr>
        <w:sz w:val="16"/>
      </w:rPr>
      <w:t>职称</w:t>
    </w:r>
    <w:r>
      <w:rPr>
        <w:sz w:val="16"/>
      </w:rPr>
      <w:t>]</w:t>
    </w:r>
    <w:r>
      <w:rPr>
        <w:sz w:val="16"/>
      </w:rPr>
      <w:t>，</w:t>
    </w:r>
    <w:r>
      <w:rPr>
        <w:sz w:val="16"/>
      </w:rPr>
      <w:t>[</w:t>
    </w:r>
    <w:r>
      <w:rPr>
        <w:sz w:val="16"/>
      </w:rPr>
      <w:t>学位（若在读请注明）</w:t>
    </w:r>
    <w:r>
      <w:rPr>
        <w:sz w:val="16"/>
      </w:rPr>
      <w:t>]</w:t>
    </w:r>
    <w:r>
      <w:rPr>
        <w:sz w:val="16"/>
      </w:rPr>
      <w:t>，研究方向：</w:t>
    </w:r>
    <w:r>
      <w:rPr>
        <w:sz w:val="16"/>
      </w:rPr>
      <w:t>[</w:t>
    </w:r>
    <w:r>
      <w:rPr>
        <w:sz w:val="16"/>
      </w:rPr>
      <w:t>方向</w:t>
    </w:r>
    <w:r>
      <w:rPr>
        <w:sz w:val="16"/>
      </w:rPr>
      <w:t>1]</w:t>
    </w:r>
    <w:r>
      <w:rPr>
        <w:sz w:val="16"/>
      </w:rPr>
      <w:t>；</w:t>
    </w:r>
    <w:r>
      <w:rPr>
        <w:sz w:val="16"/>
      </w:rPr>
      <w:t>[</w:t>
    </w:r>
    <w:r>
      <w:rPr>
        <w:sz w:val="16"/>
      </w:rPr>
      <w:t>方向</w:t>
    </w:r>
    <w:r>
      <w:rPr>
        <w:sz w:val="16"/>
      </w:rPr>
      <w:t>2]</w:t>
    </w:r>
    <w:r>
      <w:rPr>
        <w:sz w:val="16"/>
      </w:rPr>
      <w:t>。</w:t>
    </w:r>
  </w:p>
  <w:p w14:paraId="57141CA0" w14:textId="77777777" w:rsidR="00F23B67" w:rsidRDefault="00F23B67">
    <w:pPr>
      <w:jc w:val="left"/>
    </w:pPr>
    <w:r>
      <w:rPr>
        <w:sz w:val="16"/>
      </w:rPr>
      <w:t>通信作者简介：</w:t>
    </w:r>
    <w:r>
      <w:rPr>
        <w:sz w:val="16"/>
      </w:rPr>
      <w:t>[</w:t>
    </w:r>
    <w:r>
      <w:rPr>
        <w:sz w:val="16"/>
      </w:rPr>
      <w:t>姓名</w:t>
    </w:r>
    <w:r>
      <w:rPr>
        <w:sz w:val="16"/>
      </w:rPr>
      <w:t>]</w:t>
    </w:r>
    <w:r>
      <w:rPr>
        <w:sz w:val="16"/>
      </w:rPr>
      <w:t>（</w:t>
    </w:r>
    <w:r>
      <w:rPr>
        <w:sz w:val="16"/>
      </w:rPr>
      <w:t>[</w:t>
    </w:r>
    <w:r>
      <w:rPr>
        <w:sz w:val="16"/>
      </w:rPr>
      <w:t>出生年</w:t>
    </w:r>
    <w:r>
      <w:rPr>
        <w:sz w:val="16"/>
      </w:rPr>
      <w:t>]—</w:t>
    </w:r>
    <w:r>
      <w:rPr>
        <w:sz w:val="16"/>
      </w:rPr>
      <w:t>），</w:t>
    </w:r>
    <w:r>
      <w:rPr>
        <w:sz w:val="16"/>
      </w:rPr>
      <w:t>[</w:t>
    </w:r>
    <w:r>
      <w:rPr>
        <w:sz w:val="16"/>
      </w:rPr>
      <w:t>性别（民族，汉族可省略）</w:t>
    </w:r>
    <w:r>
      <w:rPr>
        <w:sz w:val="16"/>
      </w:rPr>
      <w:t>]</w:t>
    </w:r>
    <w:r>
      <w:rPr>
        <w:sz w:val="16"/>
      </w:rPr>
      <w:t>，</w:t>
    </w:r>
    <w:r>
      <w:rPr>
        <w:sz w:val="16"/>
      </w:rPr>
      <w:t>[</w:t>
    </w:r>
    <w:r>
      <w:rPr>
        <w:sz w:val="16"/>
      </w:rPr>
      <w:t>职称</w:t>
    </w:r>
    <w:r>
      <w:rPr>
        <w:sz w:val="16"/>
      </w:rPr>
      <w:t>]</w:t>
    </w:r>
    <w:r>
      <w:rPr>
        <w:sz w:val="16"/>
      </w:rPr>
      <w:t>，</w:t>
    </w:r>
    <w:r>
      <w:rPr>
        <w:sz w:val="16"/>
      </w:rPr>
      <w:t>[</w:t>
    </w:r>
    <w:r>
      <w:rPr>
        <w:sz w:val="16"/>
      </w:rPr>
      <w:t>学位（若在读请注明）</w:t>
    </w:r>
    <w:r>
      <w:rPr>
        <w:sz w:val="16"/>
      </w:rPr>
      <w:t>]</w:t>
    </w:r>
    <w:r>
      <w:rPr>
        <w:sz w:val="16"/>
      </w:rPr>
      <w:t>，研究方向：</w:t>
    </w:r>
    <w:r>
      <w:rPr>
        <w:sz w:val="16"/>
      </w:rPr>
      <w:t>[</w:t>
    </w:r>
    <w:r>
      <w:rPr>
        <w:sz w:val="16"/>
      </w:rPr>
      <w:t>方向</w:t>
    </w:r>
    <w:r>
      <w:rPr>
        <w:sz w:val="16"/>
      </w:rPr>
      <w:t>1]</w:t>
    </w:r>
    <w:r>
      <w:rPr>
        <w:sz w:val="16"/>
      </w:rPr>
      <w:t>；</w:t>
    </w:r>
    <w:r>
      <w:rPr>
        <w:sz w:val="16"/>
      </w:rPr>
      <w:t>[</w:t>
    </w:r>
    <w:r>
      <w:rPr>
        <w:sz w:val="16"/>
      </w:rPr>
      <w:t>方向</w:t>
    </w:r>
    <w:r>
      <w:rPr>
        <w:sz w:val="16"/>
      </w:rPr>
      <w:t>2]</w:t>
    </w:r>
    <w:r>
      <w:rPr>
        <w:sz w:val="16"/>
      </w:rPr>
      <w:t>，电子邮箱：</w:t>
    </w:r>
    <w:r>
      <w:rPr>
        <w:sz w:val="16"/>
      </w:rPr>
      <w:t>[</w:t>
    </w:r>
    <w:r>
      <w:rPr>
        <w:sz w:val="16"/>
      </w:rPr>
      <w:t>邮箱</w:t>
    </w:r>
    <w:r>
      <w:rPr>
        <w:sz w:val="16"/>
      </w:rPr>
      <w:t>]</w:t>
    </w:r>
    <w:r>
      <w:rPr>
        <w:sz w:val="16"/>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6A2D67" w14:textId="77777777" w:rsidR="00E407AF" w:rsidRDefault="00E407AF" w:rsidP="00F23B67">
      <w:r>
        <w:separator/>
      </w:r>
    </w:p>
  </w:footnote>
  <w:footnote w:type="continuationSeparator" w:id="0">
    <w:p w14:paraId="5084105F" w14:textId="77777777" w:rsidR="00E407AF" w:rsidRDefault="00E407AF" w:rsidP="00F23B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AF2B7" w14:textId="77777777" w:rsidR="00F23B67" w:rsidRDefault="00F23B67">
    <w:pPr>
      <w:pStyle w:val="ae"/>
      <w:rPr>
        <w:rFonts w:hint="eastAsi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DC0"/>
    <w:rsid w:val="000376E3"/>
    <w:rsid w:val="00135816"/>
    <w:rsid w:val="00245F58"/>
    <w:rsid w:val="003341C1"/>
    <w:rsid w:val="0034143A"/>
    <w:rsid w:val="003B1B14"/>
    <w:rsid w:val="003E35DB"/>
    <w:rsid w:val="005032D3"/>
    <w:rsid w:val="006309B6"/>
    <w:rsid w:val="00662C25"/>
    <w:rsid w:val="00790E2F"/>
    <w:rsid w:val="009A3654"/>
    <w:rsid w:val="00B10182"/>
    <w:rsid w:val="00B14FA3"/>
    <w:rsid w:val="00B15C9D"/>
    <w:rsid w:val="00D21814"/>
    <w:rsid w:val="00D32DC3"/>
    <w:rsid w:val="00D53327"/>
    <w:rsid w:val="00D537D7"/>
    <w:rsid w:val="00DD4A44"/>
    <w:rsid w:val="00E407AF"/>
    <w:rsid w:val="00EE5DC0"/>
    <w:rsid w:val="00F071B1"/>
    <w:rsid w:val="00F23B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AA87B8"/>
  <w15:chartTrackingRefBased/>
  <w15:docId w15:val="{FA7D5525-0EA2-4C2A-B76F-620764768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23B67"/>
    <w:pPr>
      <w:widowControl w:val="0"/>
      <w:spacing w:after="0" w:line="240" w:lineRule="auto"/>
      <w:ind w:firstLine="420"/>
      <w:jc w:val="both"/>
    </w:pPr>
    <w:rPr>
      <w:rFonts w:ascii="Times New Roman" w:eastAsia="宋体" w:hAnsi="Times New Roman" w:cs="Times New Roman"/>
      <w:sz w:val="21"/>
      <w14:ligatures w14:val="none"/>
    </w:rPr>
  </w:style>
  <w:style w:type="paragraph" w:styleId="1">
    <w:name w:val="heading 1"/>
    <w:basedOn w:val="a"/>
    <w:next w:val="a"/>
    <w:link w:val="10"/>
    <w:uiPriority w:val="9"/>
    <w:qFormat/>
    <w:rsid w:val="00EE5DC0"/>
    <w:pPr>
      <w:keepNext/>
      <w:keepLines/>
      <w:spacing w:before="480" w:after="80" w:line="278" w:lineRule="auto"/>
      <w:ind w:firstLine="0"/>
      <w:jc w:val="left"/>
      <w:outlineLvl w:val="0"/>
    </w:pPr>
    <w:rPr>
      <w:rFonts w:asciiTheme="majorHAnsi" w:eastAsiaTheme="majorEastAsia" w:hAnsiTheme="majorHAnsi" w:cstheme="majorBidi"/>
      <w:color w:val="2F5496" w:themeColor="accent1" w:themeShade="BF"/>
      <w:sz w:val="48"/>
      <w:szCs w:val="48"/>
      <w14:ligatures w14:val="standardContextual"/>
    </w:rPr>
  </w:style>
  <w:style w:type="paragraph" w:styleId="2">
    <w:name w:val="heading 2"/>
    <w:basedOn w:val="a"/>
    <w:next w:val="a"/>
    <w:link w:val="20"/>
    <w:unhideWhenUsed/>
    <w:qFormat/>
    <w:rsid w:val="00EE5DC0"/>
    <w:pPr>
      <w:keepNext/>
      <w:keepLines/>
      <w:spacing w:before="160" w:after="80" w:line="278" w:lineRule="auto"/>
      <w:ind w:firstLine="0"/>
      <w:jc w:val="left"/>
      <w:outlineLvl w:val="1"/>
    </w:pPr>
    <w:rPr>
      <w:rFonts w:asciiTheme="majorHAnsi" w:eastAsiaTheme="majorEastAsia" w:hAnsiTheme="majorHAnsi" w:cstheme="majorBidi"/>
      <w:color w:val="2F5496" w:themeColor="accent1" w:themeShade="BF"/>
      <w:sz w:val="40"/>
      <w:szCs w:val="40"/>
      <w14:ligatures w14:val="standardContextual"/>
    </w:rPr>
  </w:style>
  <w:style w:type="paragraph" w:styleId="3">
    <w:name w:val="heading 3"/>
    <w:basedOn w:val="a"/>
    <w:next w:val="a"/>
    <w:link w:val="30"/>
    <w:uiPriority w:val="9"/>
    <w:semiHidden/>
    <w:unhideWhenUsed/>
    <w:qFormat/>
    <w:rsid w:val="00EE5DC0"/>
    <w:pPr>
      <w:keepNext/>
      <w:keepLines/>
      <w:spacing w:before="160" w:after="80" w:line="278" w:lineRule="auto"/>
      <w:ind w:firstLine="0"/>
      <w:jc w:val="left"/>
      <w:outlineLvl w:val="2"/>
    </w:pPr>
    <w:rPr>
      <w:rFonts w:asciiTheme="majorHAnsi" w:eastAsiaTheme="majorEastAsia" w:hAnsiTheme="majorHAnsi" w:cstheme="majorBidi"/>
      <w:color w:val="2F5496" w:themeColor="accent1" w:themeShade="BF"/>
      <w:sz w:val="32"/>
      <w:szCs w:val="32"/>
      <w14:ligatures w14:val="standardContextual"/>
    </w:rPr>
  </w:style>
  <w:style w:type="paragraph" w:styleId="4">
    <w:name w:val="heading 4"/>
    <w:basedOn w:val="a"/>
    <w:next w:val="a"/>
    <w:link w:val="40"/>
    <w:uiPriority w:val="9"/>
    <w:semiHidden/>
    <w:unhideWhenUsed/>
    <w:qFormat/>
    <w:rsid w:val="00EE5DC0"/>
    <w:pPr>
      <w:keepNext/>
      <w:keepLines/>
      <w:spacing w:before="80" w:after="40" w:line="278" w:lineRule="auto"/>
      <w:ind w:firstLine="0"/>
      <w:jc w:val="left"/>
      <w:outlineLvl w:val="3"/>
    </w:pPr>
    <w:rPr>
      <w:rFonts w:asciiTheme="minorHAnsi" w:eastAsiaTheme="minorEastAsia" w:hAnsiTheme="minorHAnsi" w:cstheme="majorBidi"/>
      <w:color w:val="2F5496" w:themeColor="accent1" w:themeShade="BF"/>
      <w:sz w:val="28"/>
      <w:szCs w:val="28"/>
      <w14:ligatures w14:val="standardContextual"/>
    </w:rPr>
  </w:style>
  <w:style w:type="paragraph" w:styleId="5">
    <w:name w:val="heading 5"/>
    <w:basedOn w:val="a"/>
    <w:next w:val="a"/>
    <w:link w:val="50"/>
    <w:uiPriority w:val="9"/>
    <w:semiHidden/>
    <w:unhideWhenUsed/>
    <w:qFormat/>
    <w:rsid w:val="00EE5DC0"/>
    <w:pPr>
      <w:keepNext/>
      <w:keepLines/>
      <w:spacing w:before="80" w:after="40" w:line="278" w:lineRule="auto"/>
      <w:ind w:firstLine="0"/>
      <w:jc w:val="left"/>
      <w:outlineLvl w:val="4"/>
    </w:pPr>
    <w:rPr>
      <w:rFonts w:asciiTheme="minorHAnsi" w:eastAsiaTheme="minorEastAsia" w:hAnsiTheme="minorHAnsi" w:cstheme="majorBidi"/>
      <w:color w:val="2F5496" w:themeColor="accent1" w:themeShade="BF"/>
      <w:sz w:val="24"/>
      <w14:ligatures w14:val="standardContextual"/>
    </w:rPr>
  </w:style>
  <w:style w:type="paragraph" w:styleId="6">
    <w:name w:val="heading 6"/>
    <w:basedOn w:val="a"/>
    <w:next w:val="a"/>
    <w:link w:val="60"/>
    <w:uiPriority w:val="9"/>
    <w:semiHidden/>
    <w:unhideWhenUsed/>
    <w:qFormat/>
    <w:rsid w:val="00EE5DC0"/>
    <w:pPr>
      <w:keepNext/>
      <w:keepLines/>
      <w:spacing w:before="40" w:line="278" w:lineRule="auto"/>
      <w:ind w:firstLine="0"/>
      <w:jc w:val="left"/>
      <w:outlineLvl w:val="5"/>
    </w:pPr>
    <w:rPr>
      <w:rFonts w:asciiTheme="minorHAnsi" w:eastAsiaTheme="minorEastAsia" w:hAnsiTheme="minorHAnsi" w:cstheme="majorBidi"/>
      <w:b/>
      <w:bCs/>
      <w:color w:val="2F5496" w:themeColor="accent1" w:themeShade="BF"/>
      <w:sz w:val="22"/>
      <w14:ligatures w14:val="standardContextual"/>
    </w:rPr>
  </w:style>
  <w:style w:type="paragraph" w:styleId="7">
    <w:name w:val="heading 7"/>
    <w:basedOn w:val="a"/>
    <w:next w:val="a"/>
    <w:link w:val="70"/>
    <w:uiPriority w:val="9"/>
    <w:semiHidden/>
    <w:unhideWhenUsed/>
    <w:qFormat/>
    <w:rsid w:val="00EE5DC0"/>
    <w:pPr>
      <w:keepNext/>
      <w:keepLines/>
      <w:spacing w:before="40" w:line="278" w:lineRule="auto"/>
      <w:ind w:firstLine="0"/>
      <w:jc w:val="left"/>
      <w:outlineLvl w:val="6"/>
    </w:pPr>
    <w:rPr>
      <w:rFonts w:asciiTheme="minorHAnsi" w:eastAsiaTheme="minorEastAsia" w:hAnsiTheme="minorHAnsi" w:cstheme="majorBidi"/>
      <w:b/>
      <w:bCs/>
      <w:color w:val="595959" w:themeColor="text1" w:themeTint="A6"/>
      <w:sz w:val="22"/>
      <w14:ligatures w14:val="standardContextual"/>
    </w:rPr>
  </w:style>
  <w:style w:type="paragraph" w:styleId="8">
    <w:name w:val="heading 8"/>
    <w:basedOn w:val="a"/>
    <w:next w:val="a"/>
    <w:link w:val="80"/>
    <w:uiPriority w:val="9"/>
    <w:semiHidden/>
    <w:unhideWhenUsed/>
    <w:qFormat/>
    <w:rsid w:val="00EE5DC0"/>
    <w:pPr>
      <w:keepNext/>
      <w:keepLines/>
      <w:spacing w:line="278" w:lineRule="auto"/>
      <w:ind w:firstLine="0"/>
      <w:jc w:val="left"/>
      <w:outlineLvl w:val="7"/>
    </w:pPr>
    <w:rPr>
      <w:rFonts w:asciiTheme="minorHAnsi" w:eastAsiaTheme="minorEastAsia" w:hAnsiTheme="minorHAnsi" w:cstheme="majorBidi"/>
      <w:color w:val="595959" w:themeColor="text1" w:themeTint="A6"/>
      <w:sz w:val="22"/>
      <w14:ligatures w14:val="standardContextual"/>
    </w:rPr>
  </w:style>
  <w:style w:type="paragraph" w:styleId="9">
    <w:name w:val="heading 9"/>
    <w:basedOn w:val="a"/>
    <w:next w:val="a"/>
    <w:link w:val="90"/>
    <w:uiPriority w:val="9"/>
    <w:semiHidden/>
    <w:unhideWhenUsed/>
    <w:qFormat/>
    <w:rsid w:val="00EE5DC0"/>
    <w:pPr>
      <w:keepNext/>
      <w:keepLines/>
      <w:spacing w:line="278" w:lineRule="auto"/>
      <w:ind w:firstLine="0"/>
      <w:jc w:val="left"/>
      <w:outlineLvl w:val="8"/>
    </w:pPr>
    <w:rPr>
      <w:rFonts w:asciiTheme="minorHAnsi" w:eastAsiaTheme="majorEastAsia" w:hAnsiTheme="minorHAnsi" w:cstheme="majorBidi"/>
      <w:color w:val="595959" w:themeColor="text1" w:themeTint="A6"/>
      <w:sz w:val="22"/>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E5DC0"/>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rsid w:val="00EE5DC0"/>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EE5DC0"/>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EE5DC0"/>
    <w:rPr>
      <w:rFonts w:cstheme="majorBidi"/>
      <w:color w:val="2F5496" w:themeColor="accent1" w:themeShade="BF"/>
      <w:sz w:val="28"/>
      <w:szCs w:val="28"/>
    </w:rPr>
  </w:style>
  <w:style w:type="character" w:customStyle="1" w:styleId="50">
    <w:name w:val="标题 5 字符"/>
    <w:basedOn w:val="a0"/>
    <w:link w:val="5"/>
    <w:uiPriority w:val="9"/>
    <w:semiHidden/>
    <w:rsid w:val="00EE5DC0"/>
    <w:rPr>
      <w:rFonts w:cstheme="majorBidi"/>
      <w:color w:val="2F5496" w:themeColor="accent1" w:themeShade="BF"/>
      <w:sz w:val="24"/>
    </w:rPr>
  </w:style>
  <w:style w:type="character" w:customStyle="1" w:styleId="60">
    <w:name w:val="标题 6 字符"/>
    <w:basedOn w:val="a0"/>
    <w:link w:val="6"/>
    <w:uiPriority w:val="9"/>
    <w:semiHidden/>
    <w:rsid w:val="00EE5DC0"/>
    <w:rPr>
      <w:rFonts w:cstheme="majorBidi"/>
      <w:b/>
      <w:bCs/>
      <w:color w:val="2F5496" w:themeColor="accent1" w:themeShade="BF"/>
    </w:rPr>
  </w:style>
  <w:style w:type="character" w:customStyle="1" w:styleId="70">
    <w:name w:val="标题 7 字符"/>
    <w:basedOn w:val="a0"/>
    <w:link w:val="7"/>
    <w:uiPriority w:val="9"/>
    <w:semiHidden/>
    <w:rsid w:val="00EE5DC0"/>
    <w:rPr>
      <w:rFonts w:cstheme="majorBidi"/>
      <w:b/>
      <w:bCs/>
      <w:color w:val="595959" w:themeColor="text1" w:themeTint="A6"/>
    </w:rPr>
  </w:style>
  <w:style w:type="character" w:customStyle="1" w:styleId="80">
    <w:name w:val="标题 8 字符"/>
    <w:basedOn w:val="a0"/>
    <w:link w:val="8"/>
    <w:uiPriority w:val="9"/>
    <w:semiHidden/>
    <w:rsid w:val="00EE5DC0"/>
    <w:rPr>
      <w:rFonts w:cstheme="majorBidi"/>
      <w:color w:val="595959" w:themeColor="text1" w:themeTint="A6"/>
    </w:rPr>
  </w:style>
  <w:style w:type="character" w:customStyle="1" w:styleId="90">
    <w:name w:val="标题 9 字符"/>
    <w:basedOn w:val="a0"/>
    <w:link w:val="9"/>
    <w:uiPriority w:val="9"/>
    <w:semiHidden/>
    <w:rsid w:val="00EE5DC0"/>
    <w:rPr>
      <w:rFonts w:eastAsiaTheme="majorEastAsia" w:cstheme="majorBidi"/>
      <w:color w:val="595959" w:themeColor="text1" w:themeTint="A6"/>
    </w:rPr>
  </w:style>
  <w:style w:type="paragraph" w:styleId="a3">
    <w:name w:val="Title"/>
    <w:basedOn w:val="a"/>
    <w:next w:val="a"/>
    <w:link w:val="a4"/>
    <w:uiPriority w:val="10"/>
    <w:qFormat/>
    <w:rsid w:val="00EE5DC0"/>
    <w:pPr>
      <w:spacing w:after="80"/>
      <w:ind w:firstLine="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4">
    <w:name w:val="标题 字符"/>
    <w:basedOn w:val="a0"/>
    <w:link w:val="a3"/>
    <w:uiPriority w:val="10"/>
    <w:rsid w:val="00EE5DC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E5DC0"/>
    <w:pPr>
      <w:numPr>
        <w:ilvl w:val="1"/>
      </w:numPr>
      <w:spacing w:after="160" w:line="278" w:lineRule="auto"/>
      <w:ind w:firstLine="420"/>
      <w:jc w:val="center"/>
    </w:pPr>
    <w:rPr>
      <w:rFonts w:asciiTheme="majorHAnsi" w:eastAsiaTheme="majorEastAsia" w:hAnsiTheme="majorHAnsi" w:cstheme="majorBidi"/>
      <w:color w:val="595959" w:themeColor="text1" w:themeTint="A6"/>
      <w:spacing w:val="15"/>
      <w:sz w:val="28"/>
      <w:szCs w:val="28"/>
      <w14:ligatures w14:val="standardContextual"/>
    </w:rPr>
  </w:style>
  <w:style w:type="character" w:customStyle="1" w:styleId="a6">
    <w:name w:val="副标题 字符"/>
    <w:basedOn w:val="a0"/>
    <w:link w:val="a5"/>
    <w:uiPriority w:val="11"/>
    <w:rsid w:val="00EE5DC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E5DC0"/>
    <w:pPr>
      <w:spacing w:before="160" w:after="160" w:line="278" w:lineRule="auto"/>
      <w:ind w:firstLine="0"/>
      <w:jc w:val="center"/>
    </w:pPr>
    <w:rPr>
      <w:rFonts w:asciiTheme="minorHAnsi" w:eastAsiaTheme="minorEastAsia" w:hAnsiTheme="minorHAnsi" w:cstheme="minorBidi"/>
      <w:i/>
      <w:iCs/>
      <w:color w:val="404040" w:themeColor="text1" w:themeTint="BF"/>
      <w:sz w:val="22"/>
      <w14:ligatures w14:val="standardContextual"/>
    </w:rPr>
  </w:style>
  <w:style w:type="character" w:customStyle="1" w:styleId="a8">
    <w:name w:val="引用 字符"/>
    <w:basedOn w:val="a0"/>
    <w:link w:val="a7"/>
    <w:uiPriority w:val="29"/>
    <w:rsid w:val="00EE5DC0"/>
    <w:rPr>
      <w:i/>
      <w:iCs/>
      <w:color w:val="404040" w:themeColor="text1" w:themeTint="BF"/>
    </w:rPr>
  </w:style>
  <w:style w:type="paragraph" w:styleId="a9">
    <w:name w:val="List Paragraph"/>
    <w:basedOn w:val="a"/>
    <w:uiPriority w:val="34"/>
    <w:qFormat/>
    <w:rsid w:val="00EE5DC0"/>
    <w:pPr>
      <w:spacing w:after="160" w:line="278" w:lineRule="auto"/>
      <w:ind w:left="720" w:firstLine="0"/>
      <w:contextualSpacing/>
      <w:jc w:val="left"/>
    </w:pPr>
    <w:rPr>
      <w:rFonts w:asciiTheme="minorHAnsi" w:eastAsiaTheme="minorEastAsia" w:hAnsiTheme="minorHAnsi" w:cstheme="minorBidi"/>
      <w:sz w:val="22"/>
      <w14:ligatures w14:val="standardContextual"/>
    </w:rPr>
  </w:style>
  <w:style w:type="character" w:styleId="aa">
    <w:name w:val="Intense Emphasis"/>
    <w:basedOn w:val="a0"/>
    <w:uiPriority w:val="21"/>
    <w:qFormat/>
    <w:rsid w:val="00EE5DC0"/>
    <w:rPr>
      <w:i/>
      <w:iCs/>
      <w:color w:val="2F5496" w:themeColor="accent1" w:themeShade="BF"/>
    </w:rPr>
  </w:style>
  <w:style w:type="paragraph" w:styleId="ab">
    <w:name w:val="Intense Quote"/>
    <w:basedOn w:val="a"/>
    <w:next w:val="a"/>
    <w:link w:val="ac"/>
    <w:uiPriority w:val="30"/>
    <w:qFormat/>
    <w:rsid w:val="00EE5DC0"/>
    <w:pPr>
      <w:pBdr>
        <w:top w:val="single" w:sz="4" w:space="10" w:color="2F5496" w:themeColor="accent1" w:themeShade="BF"/>
        <w:bottom w:val="single" w:sz="4" w:space="10" w:color="2F5496" w:themeColor="accent1" w:themeShade="BF"/>
      </w:pBdr>
      <w:spacing w:before="360" w:after="360" w:line="278" w:lineRule="auto"/>
      <w:ind w:left="864" w:right="864" w:firstLine="0"/>
      <w:jc w:val="center"/>
    </w:pPr>
    <w:rPr>
      <w:rFonts w:asciiTheme="minorHAnsi" w:eastAsiaTheme="minorEastAsia" w:hAnsiTheme="minorHAnsi" w:cstheme="minorBidi"/>
      <w:i/>
      <w:iCs/>
      <w:color w:val="2F5496" w:themeColor="accent1" w:themeShade="BF"/>
      <w:sz w:val="22"/>
      <w14:ligatures w14:val="standardContextual"/>
    </w:rPr>
  </w:style>
  <w:style w:type="character" w:customStyle="1" w:styleId="ac">
    <w:name w:val="明显引用 字符"/>
    <w:basedOn w:val="a0"/>
    <w:link w:val="ab"/>
    <w:uiPriority w:val="30"/>
    <w:rsid w:val="00EE5DC0"/>
    <w:rPr>
      <w:i/>
      <w:iCs/>
      <w:color w:val="2F5496" w:themeColor="accent1" w:themeShade="BF"/>
    </w:rPr>
  </w:style>
  <w:style w:type="character" w:styleId="ad">
    <w:name w:val="Intense Reference"/>
    <w:basedOn w:val="a0"/>
    <w:uiPriority w:val="32"/>
    <w:qFormat/>
    <w:rsid w:val="00EE5DC0"/>
    <w:rPr>
      <w:b/>
      <w:bCs/>
      <w:smallCaps/>
      <w:color w:val="2F5496" w:themeColor="accent1" w:themeShade="BF"/>
      <w:spacing w:val="5"/>
    </w:rPr>
  </w:style>
  <w:style w:type="paragraph" w:styleId="ae">
    <w:name w:val="header"/>
    <w:basedOn w:val="a"/>
    <w:link w:val="af"/>
    <w:unhideWhenUsed/>
    <w:rsid w:val="00F23B67"/>
    <w:pPr>
      <w:tabs>
        <w:tab w:val="center" w:pos="4153"/>
        <w:tab w:val="right" w:pos="8306"/>
      </w:tabs>
      <w:snapToGrid w:val="0"/>
      <w:spacing w:after="160"/>
      <w:ind w:firstLine="0"/>
      <w:jc w:val="center"/>
    </w:pPr>
    <w:rPr>
      <w:rFonts w:asciiTheme="minorHAnsi" w:eastAsiaTheme="minorEastAsia" w:hAnsiTheme="minorHAnsi" w:cstheme="minorBidi"/>
      <w:sz w:val="18"/>
      <w:szCs w:val="18"/>
      <w14:ligatures w14:val="standardContextual"/>
    </w:rPr>
  </w:style>
  <w:style w:type="character" w:customStyle="1" w:styleId="af">
    <w:name w:val="页眉 字符"/>
    <w:basedOn w:val="a0"/>
    <w:link w:val="ae"/>
    <w:rsid w:val="00F23B67"/>
    <w:rPr>
      <w:sz w:val="18"/>
      <w:szCs w:val="18"/>
    </w:rPr>
  </w:style>
  <w:style w:type="paragraph" w:styleId="af0">
    <w:name w:val="footer"/>
    <w:basedOn w:val="a"/>
    <w:link w:val="af1"/>
    <w:uiPriority w:val="99"/>
    <w:unhideWhenUsed/>
    <w:rsid w:val="00F23B67"/>
    <w:pPr>
      <w:tabs>
        <w:tab w:val="center" w:pos="4153"/>
        <w:tab w:val="right" w:pos="8306"/>
      </w:tabs>
      <w:snapToGrid w:val="0"/>
      <w:spacing w:after="160"/>
      <w:ind w:firstLine="0"/>
      <w:jc w:val="left"/>
    </w:pPr>
    <w:rPr>
      <w:rFonts w:asciiTheme="minorHAnsi" w:eastAsiaTheme="minorEastAsia" w:hAnsiTheme="minorHAnsi" w:cstheme="minorBidi"/>
      <w:sz w:val="18"/>
      <w:szCs w:val="18"/>
      <w14:ligatures w14:val="standardContextual"/>
    </w:rPr>
  </w:style>
  <w:style w:type="character" w:customStyle="1" w:styleId="af1">
    <w:name w:val="页脚 字符"/>
    <w:basedOn w:val="a0"/>
    <w:link w:val="af0"/>
    <w:uiPriority w:val="99"/>
    <w:rsid w:val="00F23B67"/>
    <w:rPr>
      <w:sz w:val="18"/>
      <w:szCs w:val="18"/>
    </w:rPr>
  </w:style>
  <w:style w:type="paragraph" w:customStyle="1" w:styleId="11">
    <w:name w:val="标题 11"/>
    <w:rsid w:val="00F23B67"/>
    <w:pPr>
      <w:keepNext/>
      <w:spacing w:before="120" w:after="40" w:line="240" w:lineRule="auto"/>
    </w:pPr>
    <w:rPr>
      <w:rFonts w:ascii="Times New Roman" w:eastAsia="黑体" w:hAnsi="Times New Roman" w:cs="Times New Roman"/>
      <w:b/>
      <w:kern w:val="0"/>
      <w:sz w:val="28"/>
      <w:szCs w:val="20"/>
      <w14:ligatures w14:val="none"/>
    </w:rPr>
  </w:style>
  <w:style w:type="paragraph" w:customStyle="1" w:styleId="Equation">
    <w:name w:val="Equation"/>
    <w:rsid w:val="00F23B67"/>
    <w:pPr>
      <w:keepLines/>
      <w:spacing w:before="40" w:after="40" w:line="240" w:lineRule="auto"/>
    </w:pPr>
    <w:rPr>
      <w:rFonts w:ascii="Cambria Math" w:eastAsia="Cambria Math" w:hAnsi="Cambria Math" w:cs="Times New Roman"/>
      <w:kern w:val="0"/>
      <w:sz w:val="21"/>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1.xml"/><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481</TotalTime>
  <Pages>4</Pages>
  <Words>1601</Words>
  <Characters>9127</Characters>
  <Application>Microsoft Office Word</Application>
  <DocSecurity>0</DocSecurity>
  <Lines>76</Lines>
  <Paragraphs>21</Paragraphs>
  <ScaleCrop>false</ScaleCrop>
  <Company/>
  <LinksUpToDate>false</LinksUpToDate>
  <CharactersWithSpaces>10707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Alice Wonderland</dc:creator>
  <cp:keywords/>
  <dc:description/>
  <cp:lastModifiedBy>Alice Wonderland</cp:lastModifiedBy>
  <cp:revision>1</cp:revision>
  <dcterms:created xsi:type="dcterms:W3CDTF">2026-09-15T14:23:00Z</dcterms:created>
  <dcterms:modified xsi:type="dcterms:W3CDTF">2026-09-20T12:33:00Z</dcterms:modified>
</cp:coreProperties>
</file>