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为提高小时级骨干网络流量的多步预测精度，构建了轻量自适应多尺度预测模型。模型将历史窗口转换为三种时间分辨率的序列，分别交由独立的分解线性专家处理，以兼顾局部变化和较慢趋势。路由网络提取窗口的总体水平、离散程度、末时状态和平均变化强度，经两层感知器生成融合权重，得到未来多步预测。在输入长度为96、预测长度为24的Abilene与GÉANT实验中，三个共同随机种子下的均方误差相对单尺度模型分别降低4.07%和4.54%，相对采样导向轻量模型分别降低29.80%和46.89%。八种子消融进一步比较全局可学习权重与恒定输入路由，前一数据集的平均改进率均约1.80%，后一数据集分别为4.31%和4.97%。结果表明，该结构在两套骨干网数据上取得了较低的平均预测误差，低维路由仅增加少量参数，可为未来一天的需求观察与容量规划提供预测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 </w:t>
      </w:r>
      <w:r>
        <w:rPr>
          <w:rFonts w:eastAsia="宋体" w:ascii="Times New Roman" w:hAnsi="Times New Roman" w:cs="Times New Roman"/>
          <w:sz w:val="21"/>
          <w:szCs w:val="21"/>
          <w:color w:val="000000"/>
          <w:b w:val="0"/>
        </w:rPr>
        <w:t>A lightweight adaptive multiscale model was developed to improve multistep forecasting of hourly backbone traffic. Historical windows were represented at three temporal resolutions. Independent decomposition linear predictors captured local changes and slower trends. A two-layer perceptron used four window statistics to produce normalized fusion weights. Experiments on Abilene and GÉANT used an input length of 96 and a forecast length of 24. Across three common random seeds, mean squared error decreased by 4.07% and 4.54% relative to the single-scale model, and by 29.80% and 46.89% relative to the sampling-oriented lightweight model. Eight-seed ablations included learned global weights and a constant-input router. Mean seed-wise improvements over these controls were both approximately 1.80% on Abilene, and 4.31% and 4.97% on GÉANT, respectively. The model achieves lower mean errors on both backbone datasets with limited additional routing parameters. It provides forecasting information for next-day demand observation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源—目的节点对（origin-destination，OD）流量描述骨干网节点对之间的通信需求。容量规划、拥塞预警、资源调度和流量工程需要判断未来流量，本文预测小时级OD需求，为未来一天的趋势观察与容量规划提供参考。云计算、视频业务和数据中心互联增加了业务迁移与聚集，使流量变化更复杂。周期变化、局部波动与突发变化叠加，各OD变量量级不同，模型需同时刻画较慢趋势与短时变化。</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原始时间分辨率保留局部细节，时间聚合平滑短时扰动并突出较慢趋势。Zhou等[5]采用深度回声状态网络提取多分辨率信息，利用各尺度互补性。分解线性模型（decomposition linear model，DLinear）[6]通过序列分解和线性映射预测，TimeMixer[7]采用多尺度混合，LightTS[8]以采样导向的多层感知器（multilayer perceptron，MLP）实现快速预测。本文兼顾多尺度信息与模型规模。</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常见流程先给定尺度，再按固定比例融合预测。输入窗口的短时波动和平缓趋势占比不同，单尺度难以覆盖多分辨率信息，固定融合也未使用窗口状态差异。本文据此计算输入相关权重，组合各尺度预测。</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本文采用样本级自适应多尺度结构：尺度1、2和4的独立DLinear专家生成候选预测，路由网络读取窗口的总体水平、离散程度、最近状态和变化强度，经Softmax生成融合权重，使尺度内预测与尺度间选择分开处理。在Abilene和GÉANT上比较DLinear、LightTS、固定等权、全局可学习权重和恒定输入路由，通过多随机种子实验及权重分析检验预测误差、结构消融与尺度分配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图1给出模型的整体流程。历史OD窗口经对数变换和标准化后，构造尺度1、2和4的输入序列，分别交给独立DLinear专家。各专家将趋势项和余项分别映射到24步预测，再将两部分结果相加。窗口路由网络根据原始分辨率输入的4项统计特征生成Softmax权重，对3个尺度的候选预测加权求和。图中省略样本下标n，曲边连接表示DLinear专家内部的展开；实线表示预测计算流程，虚线表示窗口特征和融合权重的传递。图中的矩阵、曲线和色块用于说明计算过程。</w:t>
      </w:r>
    </w:p>
    <w:p>
      <w:pPr>
        <w:spacing w:line="240" w:lineRule="auto"/>
        <w:keepNext w:val="0"/>
        <w:keepLines w:val="1"/>
      </w:pPr>
      <w:r>
        <w:rPr>
          <w:rFonts w:eastAsia="宋体" w:ascii="Times New Roman" w:hAnsi="Times New Roman" w:cs="Times New Roman"/>
          <w:sz w:val="21"/>
          <w:szCs w:val="21"/>
          <w:color w:val="000000"/>
          <w:b w:val="0"/>
        </w:rPr>
        <w:t>原始尺度保留局部变化，较粗尺度通过时间聚合突出慢趋势。各尺度独立预测，路由网络确定样本融合比例；统一采用DLinear专家控制规模，也为多尺度输入与样本级融合提供相同主干。</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，t表示时间索引，C表示有效OD变量数。沿时间轴对连续序列生成滑动窗口，作为监督学习样本；第n个样本由历史窗口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本文取L=96步作为历史输入、H=24步作为未来预测，C为各数据集保留的有效OD维度数。需要学习的预测映射记为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rPr>
          <w:rFonts w:eastAsia="宋体" w:ascii="Times New Roman" w:hAnsi="Times New Roman" w:cs="Times New Roman"/>
          <w:sz w:val="21"/>
          <w:szCs w:val="21"/>
          <w:color w:val="000000"/>
        </w:rPr>
        <w:t>作对数变换</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spacing w:line="240" w:lineRule="auto"/>
        <w:keepNext w:val="0"/>
        <w:keepLines w:val="1"/>
      </w:pPr>
      <w:r>
        <w:rPr>
          <w:rFonts w:eastAsia="宋体" w:ascii="Times New Roman" w:hAnsi="Times New Roman" w:cs="Times New Roman"/>
          <w:sz w:val="21"/>
          <w:szCs w:val="21"/>
          <w:color w:val="000000"/>
        </w:rPr>
        <w:t>预处理保留历史窗口原有的时间分辨率，各尺度共用这一窗口。不同尺度序列在此后构造，分别向各专家提供细粒度变化和较平滑的趋势。</w:t>
      </w:r>
    </w:p>
    <w:p>
      <w:pPr>
        <w:spacing w:line="240" w:lineRule="auto"/>
        <w:keepNext w:val="0"/>
        <w:keepLines w:val="1"/>
      </w:pPr>
      <w:r>
        <w:rPr>
          <w:rFonts w:eastAsia="宋体" w:ascii="Times New Roman" w:hAnsi="Times New Roman" w:cs="Times New Roman"/>
          <w:sz w:val="21"/>
          <w:szCs w:val="21"/>
          <w:color w:val="000000"/>
        </w:rPr>
        <w:t>在第2.1节所用的1 h聚合数据上，96步历史输入对应过去96 h，24步预测对应未来24 h。该设置可用于观察小时级需求变化，并提供未来一天的流量预测。</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56158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561588"/>
                    </a:xfrm>
                    <a:prstGeom prst="rect">
                      <a:avLst/>
                    </a:prstGeom>
                    <a:noFill/>
                    <a:ln>
                      <a:noFill/>
                    </a:ln>
                  </pic:spPr>
                </pic:pic>
              </a:graphicData>
            </a:graphic>
          </wp:inline>
        </w:drawing>
      </w:r>
    </w:p>
    <w:p w14:paraId="4BAAA424" w14:textId="77777777" w:rsidR="00B14FA3" w:rsidRPr="00B14FA3" w:rsidRDefault="00B14FA3" w:rsidP="00B14FA3">
      <w:pPr>
        <w:keepLines w:val="1"/>
        <w:spacing w:before="60" w:after="80" w:line="240" w:lineRule="auto"/>
        <w:ind w:firstLine="0"/>
        <w:jc w:val="center"/>
        <w:keepNext w:val="0"/>
      </w:pPr>
      <w:r>
        <w:rPr>
          <w:rFonts w:eastAsia="黑体" w:ascii="Times New Roman" w:hAnsi="Times New Roman" w:cs="Times New Roman"/>
          <w:b w:val="1"/>
          <w:sz w:val="18"/>
          <w:szCs w:val="18"/>
          <w:color w:val="000000"/>
        </w:rPr>
        <w:t>图</w:t>
      </w:r>
      <w:r>
        <w:rPr>
          <w:rFonts w:eastAsia="黑体" w:ascii="Times New Roman" w:hAnsi="Times New Roman" w:cs="Times New Roman"/>
          <w:b w:val="1"/>
          <w:sz w:val="18"/>
          <w:szCs w:val="18"/>
          <w:color w:val="000000"/>
        </w:rPr>
        <w:t xml:space="preserve">1 </w:t>
      </w:r>
      <w:r>
        <w:rPr>
          <w:rFonts w:eastAsia="黑体" w:ascii="Times New Roman" w:hAnsi="Times New Roman" w:cs="Times New Roman"/>
          <w:b w:val="1"/>
          <w:sz w:val="18"/>
          <w:szCs w:val="18"/>
          <w:color w:val="000000"/>
        </w:rPr>
        <w:t>自适应多尺度网络流量预测方法框架</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设尺度集合S={1,2,4}。尺度s规定时间维聚合的窗口大小与步长，两者取值相同。采用非重叠平均池化，任一尺度s的序列构造为：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L=96时，尺度1保留原始96步序列；尺度2取相邻2点均值，得到48步；尺度4取相邻4点均值，得到24步。三者分别保留短时起伏、适度平滑局部变化及进一步突出慢趋势。非重叠平均池化无需训练参数，多尺度构造不增加模型参数。</w:t>
      </w:r>
    </w:p>
    <w:p>
      <w:pPr>
        <w:widowControl/>
        <w:spacing w:line="240" w:lineRule="auto"/>
        <w:keepNext w:val="0"/>
        <w:keepLines w:val="1"/>
      </w:pPr>
      <w:r>
        <w:rPr>
          <w:rFonts w:eastAsia="宋体" w:ascii="Times New Roman" w:hAnsi="Times New Roman" w:cs="Times New Roman"/>
          <w:sz w:val="21"/>
          <w:szCs w:val="21"/>
          <w:color w:val="000000"/>
          <w:b w:val="0"/>
        </w:rPr>
        <w:t>尺度组合{1,2,4}将96步历史分为整数长度序列，在细粒度信息、趋势信息与模型规模之间作出取舍。增加尺度会缩短序列并增加专家分支。同一尺度内，每个原始时间点仅参与一次聚合。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；越界索引取最近端点值，从而保持分解前后的时间长度一致：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i"/>
              </m:rPr>
              <m:t>X</m:t>
            </m:r>
          </m:e>
          <m:sub>
            <m:r>
              <m:t>n</m:t>
            </m:r>
          </m:sub>
        </m:sSub>
      </m:oMath>
      <w:r>
        <w:rPr>
          <w:rFonts w:eastAsia="宋体" w:ascii="Times New Roman" w:hAnsi="Times New Roman" w:cs="Times New Roman"/>
          <w:sz w:val="21"/>
          <w:szCs w:val="21"/>
          <w:color w:val="000000"/>
        </w:rPr>
        <w:t>提取四维统计向量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，用这些统计量描述当前窗口状态，其中</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隐藏层采用修正线性单元（rectified linear unit，ReLU）。其尺度分数计算为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式（13）利用上述权重对3个DLinear专家的预测结果进行加权求和，得到最终预测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。该组权重由输入窗口计算，并由同一窗口内的全部OD变量共享。</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训练采用自适应矩估计（adaptive moment estimation，Adam）优化器更新参数，并根据验证集MSE选择最终使用的模型。</w:t>
      </w:r>
    </w:p>
    <w:p>
      <w:pPr>
        <w:widowControl/>
        <w:spacing w:line="240" w:lineRule="auto"/>
        <w:keepNext w:val="0"/>
        <w:keepLines w:val="1"/>
      </w:pPr>
      <w:r>
        <w:rPr>
          <w:rFonts w:eastAsia="宋体" w:ascii="Times New Roman" w:hAnsi="Times New Roman" w:cs="Times New Roman"/>
          <w:sz w:val="21"/>
          <w:szCs w:val="21"/>
          <w:color w:val="000000"/>
        </w:rPr>
        <w:t>推理时，将历史OD窗口按训练阶段确定的规则预处理，再经多尺度专家与路由融合得到未来多步预测。预测结果可作为后续网络需求分析的输入。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数据取自CESNET TS-Zoo[9]的1 h聚合Abilene[10]和GÉANT[11]流量矩阵。Abilene含4656个时间点、144维有效OD变量；GÉANT含2849个时间点，去除恒定通道后保留524维。两套数据均按时间顺序以6∶2∶2划分，采用L=96、H=24和第1.1节预处理，规模与窗口数见表1。</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所有模型使用相同的数据划分、输入和预测长度、评价指标及批量大小16，未分别搜索最优超参数。DLinear及各多尺度模型最多训练30轮，LightTS为50轮；可训练融合参数与尺度专家共同优化，各模型均按验证集MSE选择参数，测试集仅用于最终统计。</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指标在标准化空间计算，越小越好。MSE对较大误差敏感，MAE反映平均绝对偏差，RMSE补充误差幅值。表2与表3分别以均值±标准差汇总种子42～44和42～49的结果，标准差反映种子间波动。相对改进率先按共同种子配对计算，再取平均，不使用表内四舍五入后的均值。</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2列出3个共同随机种子下的总体基线结果。本文方法在Abilene上的MSE为0.186，在GÉANT上为0.434；逐种子计算后相对DLinear分别降低4.07%和4.54%，相对LightTS分别降低29.80%和46.89%，MAE呈相同方向变化。图2进一步展示本文方法与LightTS的逐种子、多指标结果及参数规模。</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图2使用本文方法与LightTS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60" w:after="80" w:line="240" w:lineRule="auto"/>
        <w:ind w:firstLine="0"/>
        <w:jc w:val="center"/>
        <w:keepNext w:val="0"/>
      </w:pPr>
      <w:r>
        <w:rPr>
          <w:rFonts w:eastAsia="黑体" w:ascii="Times New Roman" w:hAnsi="Times New Roman" w:cs="Times New Roman"/>
          <w:b w:val="1"/>
          <w:sz w:val="18"/>
          <w:szCs w:val="18"/>
          <w:color w:val="000000"/>
        </w:rPr>
        <w:t>图2 Abilene与GÉANT上本文方法相对LightTS的三随机种子多指标性能提升</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val="1"/>
        <w:spacing w:line="240" w:lineRule="auto"/>
        <w:keepNext w:val="0"/>
      </w:pPr>
      <w:r>
        <w:rPr>
          <w:color w:val="000000"/>
          <w:szCs w:val="21"/>
          <w:rFonts w:eastAsia="宋体" w:ascii="Times New Roman" w:hAnsi="Times New Roman" w:cs="Times New Roman"/>
          <w:sz w:val="21"/>
        </w:rPr>
        <w:t>图3以DLinear和固定等权多尺度模型为对照，列出随机种子42～49的MSE、MAE及RMSE相对改进率。两种方法误差相等的位置由0%虚线标出，据此判断改进方向。各随机种子的结果用散点表示，8次结果的分布由半小提琴汇总。黑色菱形和横向误差线分别表示8次改进率均值及其95%置信区间。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均为正值，图3同时展示了不同随机种子的结果分布。</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60" w:after="80" w:line="240" w:lineRule="auto"/>
        <w:ind w:firstLine="0"/>
        <w:jc w:val="center"/>
        <w:keepNext w:val="0"/>
      </w:pPr>
      <w:r>
        <w:rPr>
          <w:rFonts w:eastAsia="黑体" w:ascii="Times New Roman" w:hAnsi="Times New Roman" w:cs="Times New Roman"/>
          <w:b w:val="1"/>
          <w:sz w:val="18"/>
          <w:szCs w:val="18"/>
          <w:color w:val="000000"/>
        </w:rPr>
        <w:t>图3 Abilene与GÉANT上本文方法相对两类基线的八随机种子多指标相对改进分布</w:t>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p>
    <w:p>
      <w:pPr>
        <w:widowControl/>
        <w:spacing w:line="240" w:lineRule="auto"/>
        <w:keepNext w:val="0"/>
        <w:keepLines w:val="1"/>
      </w:pPr>
      <w:r>
        <w:rPr>
          <w:rFonts w:eastAsia="宋体" w:ascii="Times New Roman" w:hAnsi="Times New Roman" w:cs="Times New Roman"/>
          <w:sz w:val="21"/>
          <w:szCs w:val="21"/>
          <w:color w:val="000000"/>
        </w:rPr>
        <w:t>表3的两类常权重对照中，本文方法在八次重复实验中的平均MSE较低；GÉANT种子43相对恒定输入路由退步12.78%。图4进一步汇总全测试点的预测偏差，并展示按真实序列波动选取的典型轨迹。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keepNext w:val="0"/>
        <w:keepLines w:val="1"/>
        <w:spacing w:line="240" w:lineRule="auto"/>
      </w:pPr>
      <w:r>
        <w:rPr>
          <w:rFonts w:eastAsia="宋体" w:ascii="Times New Roman" w:hAnsi="Times New Roman" w:cs="Times New Roman"/>
          <w:sz w:val="21"/>
          <w:szCs w:val="21"/>
          <w:color w:val="000000"/>
        </w:rPr>
        <w:t>图4(a、b)汇总随机种子42～49的全部测试窗口，覆盖24个预测步和全部有效OD通道。真实值按分位点分为最多40个区间，四种模型分别在区间内汇总8种子的预测值并取平均，由这些分组平均值构成曲线。灰色虚线给出理想预测位置，浅色带给出种子间±1个标准差。高真实值区间中，四种模型的分组预测值均偏低，本文方法的平均偏差相对较小。图4(c～f)固定随机种子42，先依据真实序列选取标准差接近第75百分位的OD通道，再选波动程度接近中位数和第90百分位的窗口。通道及窗口的选择均不依据模型误差，只使用真实序列。本文方法在四例中的三例取得较低的24步均方误差，均低于DLinear、固定等权和恒定输入路由模型；Abilene典型波动窗口是例外，本文方法在该例中较差。图4以分组结果和典型轨迹展示预测行为，整体误差结果见表3。</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0"/>
        <w:keepLines w:val="1"/>
        <w:spacing w:before="60" w:after="80" w:line="240" w:lineRule="auto"/>
        <w:ind w:firstLine="0"/>
        <w:jc w:val="center"/>
      </w:pPr>
      <w:r>
        <w:rPr>
          <w:rFonts w:eastAsia="黑体" w:ascii="Times New Roman" w:hAnsi="Times New Roman" w:cs="Times New Roman"/>
          <w:b w:val="1"/>
          <w:sz w:val="18"/>
          <w:szCs w:val="18"/>
          <w:color w:val="000000"/>
        </w:rPr>
        <w:t>图4 Abilene与GÉANT全测试点预测校准及典型窗口预测轨迹</w:t>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p>
    <w:p w14:paraId="0C8325AF"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随机种子42～49的三个尺度权重见图5，小提琴分布包含全部测试窗口与种子。蓝、绿、橙色分别表示尺度1、2和4。彩色散点显示同一种子在全部测试窗口上的平均权重。对8个种子的这些均值再计算均值±1个标准差，以黑色菱形和误差线表示；固定等权1/3与汇总分布中位数分别用水平虚线及短横线标示。小提琴宽度同时反映种子间和窗口间的权重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0"/>
        <w:keepLines w:val="1"/>
        <w:spacing w:before="60" w:after="80" w:line="240" w:lineRule="auto"/>
        <w:ind w:firstLine="0"/>
        <w:jc w:val="center"/>
      </w:pPr>
      <w:r>
        <w:rPr>
          <w:rFonts w:eastAsia="黑体" w:ascii="Times New Roman" w:hAnsi="Times New Roman" w:cs="Times New Roman"/>
          <w:b w:val="1"/>
          <w:sz w:val="18"/>
          <w:szCs w:val="18"/>
          <w:color w:val="000000"/>
        </w:rPr>
        <w:t>图5 Abilene与GÉANT的逐窗口路由权重汇总分布及八种子均值</w:t>
      </w:r>
    </w:p>
    <w:p>
      <w:pPr>
        <w:keepLines w:val="1"/>
        <w:spacing w:line="240" w:lineRule="auto"/>
        <w:keepNext w:val="0"/>
      </w:pPr>
      <w:r>
        <w:rPr>
          <w:color w:val="000000"/>
          <w:szCs w:val="21"/>
          <w:rFonts w:eastAsia="宋体" w:ascii="Times New Roman" w:hAnsi="Times New Roman" w:cs="Times New Roman"/>
          <w:sz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显示了不同尺度的总体权重偏好及其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分组结果表明，不同波动条件下的误差改善幅度有所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使用预测长度为24的8个随机种子检查点单独测量前向计算开销。计时前预先加载测试张量，并将批量大小设为16。本文方法在Abilene和GÉANT上的平均每批前向耗时分别为2.65 ms和2.61 ms，固定等权模型分别为2.38 ms和2.10 ms，单尺度DLinear分别为0.77 ms和0.70 ms。上述结果对应预加载张量条件下的模型前向计算，展示了多尺度预测结构的运行开销。</w:t>
      </w:r>
    </w:p>
    <w:p>
      <w:pPr>
        <w:keepNext w:val="0"/>
        <w:keepLines w:val="1"/>
        <w:spacing w:line="240" w:lineRule="auto"/>
      </w:pPr>
      <w:r>
        <w:rPr>
          <w:rFonts w:eastAsia="宋体" w:ascii="Times New Roman" w:hAnsi="Times New Roman" w:cs="Times New Roman"/>
          <w:sz w:val="21"/>
          <w:szCs w:val="21"/>
          <w:color w:val="000000"/>
          <w:b w:val="0"/>
        </w:rPr>
        <w:t>运维模块可定期读取小时级历史OD序列，生成未来一天的需求估计，辅助识别高需求时段与容量变化，为趋势观察和容量规划提供参考。</w:t>
      </w:r>
    </w:p>
    <w:p>
      <w:pPr>
        <w:keepNext w:val="0"/>
        <w:keepLines w:val="1"/>
        <w:spacing w:line="240" w:lineRule="auto"/>
      </w:pPr>
      <w:r>
        <w:rPr>
          <w:rFonts w:eastAsia="宋体" w:ascii="Times New Roman" w:hAnsi="Times New Roman" w:cs="Times New Roman"/>
          <w:sz w:val="21"/>
          <w:szCs w:val="21"/>
          <w:color w:val="000000"/>
          <w:b w:val="0"/>
        </w:rPr>
        <w:t>图4中各模型在高真实值区间均有低估，本文方法的分组平均偏差较小，有助于观察模型对高需求趋势的刻画。</w:t>
      </w:r>
    </w:p>
    <w:p>
      <w:pPr>
        <w:keepNext w:val="0"/>
        <w:keepLines w:val="1"/>
        <w:spacing w:line="240" w:lineRule="auto"/>
      </w:pPr>
      <w:r>
        <w:rPr>
          <w:rFonts w:eastAsia="宋体" w:ascii="Times New Roman" w:hAnsi="Times New Roman" w:cs="Times New Roman"/>
          <w:sz w:val="21"/>
          <w:szCs w:val="21"/>
          <w:color w:val="000000"/>
          <w:b w:val="0"/>
        </w:rPr>
        <w:t>实验评估标准化OD流量。实际接入网络管理系统时，需恢复原始量纲，再结合拓扑、路由和链路容量，由OD需求分析链路负载。</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自适应多尺度加权将独立分解线性专家与低维窗口路由结合，以较小参数规模完成小时级骨干网流量预测。两套数据的重复实验显示，其平均误差低于所设单尺度及固定融合对照，可为未来一天的需求分析提供参考。后续需在更多网络数据和预测长度下检验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