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为提高小时级骨干网络流量的多步预测精度，构建了轻量自适应多尺度预测模型。模型将历史窗口转换为三种时间分辨率的序列，分别由独立分解线性专家生成候选预测，兼顾局部变化与较慢趋势。路由网络提取窗口的总体水平、离散程度、末时状态和平均变化强度，经两层感知器生成融合权重。在输入96步、预测24步的Abilene和GÉANT实验中，3个共同随机种子的均方误差相对单尺度分解线性模型分别降低4.07%和4.54%，相对采样导向轻量模型LightTS分别降低29.80%和46.89%。8种子消融中，相对全局可学习权重和恒定输入路由的逐种子平均改进率在Abilene上均约1.80%，在GÉANT上分别为4.31%和4.97%。结果表明，多尺度预测与低维路由结合取得了较低的平均误差，仅增加少量融合参数，可为未来一天的网络需求分析与容量规划提供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源—目的节点对（origin-destination，OD）流量描述骨干网节点对之间的通信需求。容量规划需要了解各节点对未来的需求变化。本文面向小时级OD流量，预测未来一天的需求，为高需求时段观察和容量安排提供参考。云计算、视频业务和数据中心互联增加了业务迁移与聚集，使流量变化更复杂。周期变化、局部波动与突发变化叠加，各OD变量量级不同，预测模型需同时刻画较慢趋势与短时变化。</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原始时间分辨率保留局部细节，时间聚合平滑短时扰动并突出较慢趋势。Zhou等[5]采用深度回声状态网络提取多分辨率信息，利用各尺度互补性。分解线性模型（decomposition linear model，DLinear）[6]通过序列分解和线性映射预测，TimeMixer[7]采用多尺度混合，LightTS[8]以采样导向的多层感知器（multilayer perceptron，MLP）实现快速预测。这些方法为多分辨率建模和轻量预测提供了基础，本文在分解线性预测的主干上研究尺度间的融合方式。</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对于同一历史窗口，不同时间分辨率保留的信息并不相同。将各尺度预测按固定比例融合，可以利用多尺度信息，但融合比例不会随输入状态变化。因此，本文研究在保持尺度专家结构一致的条件下，依据窗口状态生成融合权重是否能够进一步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56158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56158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原始尺度保留局部变化，较粗尺度通过时间聚合突出慢趋势。各尺度独立预测，路由网络确定样本融合比例；统一采用DLinear专家控制规模，也为多尺度输入与样本级融合提供相同主干。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，t表示时间索引，C表示有效OD变量数。沿时间轴对连续序列生成滑动窗口，作为监督学习样本；第n个样本由历史窗口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本文取L=96步作为历史输入、H=24步作为未来预测，C为各数据集保留的有效OD维度数。需要学习的预测映射记为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spacing w:line="240" w:lineRule="auto"/>
        <w:keepNext w:val="0"/>
        <w:keepLines w:val="1"/>
      </w:pPr>
      <w:r>
        <w:rPr>
          <w:rFonts w:eastAsia="宋体" w:ascii="Times New Roman" w:hAnsi="Times New Roman" w:cs="Times New Roman"/>
          <w:sz w:val="21"/>
          <w:szCs w:val="21"/>
          <w:color w:val="000000"/>
        </w:rPr>
        <w:t>预处理保留历史窗口原有的时间分辨率，各尺度共用这一窗口。不同尺度序列在此后构造，分别向各专家提供细粒度变化和较平滑的趋势。</w:t>
      </w:r>
    </w:p>
    <w:p>
      <w:pPr>
        <w:spacing w:line="240" w:lineRule="auto"/>
        <w:keepNext w:val="0"/>
        <w:keepLines w:val="1"/>
      </w:pPr>
      <w:r>
        <w:rPr>
          <w:rFonts w:eastAsia="宋体" w:ascii="Times New Roman" w:hAnsi="Times New Roman" w:cs="Times New Roman"/>
          <w:sz w:val="21"/>
          <w:szCs w:val="21"/>
          <w:color w:val="000000"/>
        </w:rPr>
        <w:t>在第2.1节所用的1 h聚合数据上，96步历史输入对应过去96 h，24步预测对应未来24 h。该设置可用于观察小时级需求变化，并提供未来一天的流量预测。</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设尺度集合S={1,2,4}。尺度s规定时间维聚合的窗口大小与步长，两者取值相同。采用非重叠平均池化，任一尺度s的序列构造为：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保留原始96步序列；尺度2取相邻2点均值，得到48步；尺度4取相邻4点均值，得到24步。三者分别保留短时起伏、适度平滑局部变化及进一步突出慢趋势。非重叠平均池化无需训练参数，多尺度构造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尺度组合{1,2,4}将96步历史分为整数长度序列，在细粒度信息、趋势信息与模型规模之间作出取舍。增加尺度会缩短序列并增加专家分支。同一尺度内，每个原始时间点仅参与一次聚合。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；越界索引取最近端点值，从而保持分解前后的时间长度一致：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i"/>
              </m:rPr>
              <m:t>X</m:t>
            </m:r>
          </m:e>
          <m:sub>
            <m:r>
              <m:t>n</m:t>
            </m:r>
          </m:sub>
        </m:sSub>
      </m:oMath>
      <w:r>
        <w:rPr>
          <w:rFonts w:eastAsia="宋体" w:ascii="Times New Roman" w:hAnsi="Times New Roman" w:cs="Times New Roman"/>
          <w:sz w:val="21"/>
          <w:szCs w:val="21"/>
          <w:color w:val="000000"/>
        </w:rPr>
        <w:t>提取四维统计向量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，用这些统计量描述当前窗口状态，其中</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隐藏层采用修正线性单元（rectified linear unit，ReLU）。其尺度分数计算为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式（13）利用上述权重对3个DLinear专家的预测结果进行加权求和，得到最终预测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。该组权重由输入窗口计算，并由同一窗口内的全部OD变量共享。</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estimation，Adam）优化器更新参数，并根据验证集MSE选择最终使用的模型。</w:t>
      </w:r>
    </w:p>
    <w:p>
      <w:pPr>
        <w:widowControl/>
        <w:spacing w:line="240" w:lineRule="auto"/>
        <w:keepNext w:val="0"/>
        <w:keepLines w:val="1"/>
      </w:pPr>
      <w:r>
        <w:rPr>
          <w:rFonts w:eastAsia="宋体" w:ascii="Times New Roman" w:hAnsi="Times New Roman" w:cs="Times New Roman"/>
          <w:sz w:val="21"/>
          <w:szCs w:val="21"/>
          <w:color w:val="000000"/>
        </w:rP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数据取自CESNET TS-Zoo[9]的1 h聚合Abilene[10]和GÉANT[11]流量矩阵。Abilene含4656个时间点、144维有效OD变量；GÉANT含2849个时间点，去除恒定通道后保留524维。两套数据均按时间顺序以6∶2∶2划分，采用L=96、H=24和第1.1节预处理，规模与窗口数见表1。</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所有模型使用相同的数据划分、输入和预测长度、评价指标及批量大小16，均采用Adam优化器，未分别搜索最优超参数。DLinear及各多尺度模型的学习率为0.001，最多训练30轮，验证集MSE连续6轮无改善时提前停止；LightTS的学习率为0.0001，最多训练50轮，早停耐心值为10轮。可训练融合参数与尺度专家共同优化，各模型均按验证集MSE选择参数，测试集仅用于最终统计。</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LightTS采用THUML的公开实现，分块长度为24、模型维度参数为512；DLinear及各尺度专家的移动平均窗口均为25，路由隐藏层维度为16。软件版本为Python 3.11.9和PyTorch 2.5.1。</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指标在标准化空间计算，越小越好。MSE对较大误差敏感，MAE反映平均绝对偏差，RMSE补充误差幅值。表2与表3分别以均值±标准差汇总种子42～44和42～49的结果，标准差反映种子间波动。相对改进率先按共同种子配对计算，再取平均，不使用表内四舍五入后的均值。95%置信区间依据配对种子改进率的均值和标准误，采用自由度为7的t分布计算。</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2列出3个共同随机种子下的总体基线结果。本文方法在Abilene上的MSE为0.186，在GÉANT上为0.434；逐种子计算后相对DLinear分别降低4.07%和4.54%，相对LightTS分别降低29.80%和46.89%，MAE呈相同方向变化。图2进一步展示本文方法与LightTS的逐种子、多指标结果及参数规模。</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p>
    <w:p>
      <w:pPr>
        <w:widowControl/>
        <w:spacing w:line="240" w:lineRule="auto"/>
        <w:keepNext w:val="0"/>
        <w:keepLines w:val="1"/>
      </w:pPr>
      <w:r>
        <w:rPr>
          <w:rFonts w:eastAsia="宋体" w:ascii="Times New Roman" w:hAnsi="Times New Roman" w:cs="Times New Roman"/>
          <w:sz w:val="21"/>
          <w:szCs w:val="21"/>
          <w:color w:val="000000"/>
        </w:rPr>
        <w:t>表3的两类常权重对照中，本文方法在八次重复实验中的平均MSE较低；GÉANT种子43相对恒定输入路由退步12.78%。图4进一步汇总全测试点的预测偏差，并展示按真实序列波动选取的典型轨迹。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高真实值区间中，四种模型的分组预测值均偏低，本文方法的平均偏差相对较小。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使用预测长度为24、种子42～49的8个检查点单独测量前向计算开销。模型置于评估模式并关闭梯度计算，测试张量预先加载，批量大小为16。每个检查点先预热20批，再对完整测试集重复计时10次；每次总耗时除以批次数，先对10次计时取平均，再对8个检查点取平均。本文方法在Abilene和GÉANT上的平均每批前向耗时分别为2.65 ms和2.61 ms，固定等权模型分别为2.38 ms和2.10 ms，单尺度DLinear分别为0.77 ms和0.70 ms。计时仅覆盖模型前向计算，不含数据读取与传输。</w:t>
      </w:r>
    </w:p>
    <w:p>
      <w:pPr>
        <w:keepNext w:val="0"/>
        <w:keepLines w:val="1"/>
        <w:spacing w:line="240" w:lineRule="auto"/>
      </w:pPr>
      <w:r>
        <w:rPr>
          <w:rFonts w:eastAsia="宋体" w:ascii="Times New Roman" w:hAnsi="Times New Roman" w:cs="Times New Roman"/>
          <w:sz w:val="21"/>
          <w:szCs w:val="21"/>
          <w:color w:val="000000"/>
          <w:b w:val="0"/>
        </w:rPr>
        <w:t xml:space="preserve">在小时级网络管理场景中，运维模块可随观测序列更新，读取最近96 h的各OD流量，按训练阶段的预处理规则构造历史窗口，输出未来24 h各OD的逐小时需求估计。一次预测同时覆盖全部有效OD变量，便于按时间和节点对组织后续需求分析。</w:t>
      </w:r>
    </w:p>
    <w:p>
      <w:pPr>
        <w:keepNext w:val="0"/>
        <w:keepLines w:val="1"/>
        <w:spacing w:line="240" w:lineRule="auto"/>
      </w:pPr>
      <w:r>
        <w:rPr>
          <w:rFonts w:eastAsia="宋体" w:ascii="Times New Roman" w:hAnsi="Times New Roman" w:cs="Times New Roman"/>
          <w:sz w:val="21"/>
          <w:szCs w:val="21"/>
          <w:color w:val="000000"/>
          <w:b w:val="0"/>
        </w:rPr>
        <w:t xml:space="preserve">预测输出处于标准化空间。用于实际需求分析时，应先利用训练阶段保存的逐OD统计量逆标准化，再作逆对数变换，恢复原始流量量纲。随后可结合网络拓扑和路由关系，将各OD的预测需求汇总到对应链路，并与链路容量比较，为容量安排提供参考。</w:t>
      </w:r>
    </w:p>
    <w:p>
      <w:pPr>
        <w:keepNext w:val="0"/>
        <w:keepLines w:val="1"/>
        <w:spacing w:line="240" w:lineRule="auto"/>
      </w:pPr>
      <w:r>
        <w:rPr>
          <w:rFonts w:eastAsia="宋体" w:ascii="Times New Roman" w:hAnsi="Times New Roman" w:cs="Times New Roman"/>
          <w:sz w:val="21"/>
          <w:szCs w:val="21"/>
          <w:color w:val="000000"/>
          <w:b w:val="0"/>
        </w:rPr>
        <w:t xml:space="preserve">图4中各模型在高真实值区间均有低估，本文方法的分组平均偏差相对较小。这一结果说明模型对高需求水平的估计有所改善，可为需求上升时段的观察和容量复核提供预测参考。</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将独立分解线性专家与低维窗口路由结合，以较小参数规模完成小时级骨干网流量预测。两套数据的重复实验显示，其平均误差低于所设单尺度及固定融合对照，可为未来一天的需求分析提供参考。后续需在更多网络数据和预测长度下检验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