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针对小时级骨干网络流量的多步预测，本文设计轻量自适应多尺度预测模型。模型将历史窗口表示为三种时间分辨率的序列，用于保留局部变化与较慢趋势，再由独立分解线性专家生成候选预测。融合环节以窗口的总体水平、离散程度、末时状态和平均变化强度为依据，由路由网络提取这些统计量，再由两层感知器计算融合权重。Abilene和GÉANT实验固定输入96步、预测24步。与单尺度分解线性模型比较，3个共同随机种子下的均方误差分别降低4.07%和4.54%；以采样导向轻量模型LightTS为对照，降幅为29.80%和46.89%。8种子消融考察全局可学习权重与恒定输入路由，Abilene逐种子平均改进率均约1.80%，GÉANT分别为4.31%和4.97%。多尺度预测配合低维路由，以较少的融合参数取得较低平均误差，预测结果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时间聚合平滑短时扰动后，较慢趋势得以突出，而局部细节仍需由原始时间分辨率的序列保留。围绕这一尺度互补关系，Zhou等[5]采用深度回声状态网络提取多分辨率信息。已有轻量预测方法中，分解线性模型（decomposition linear model，DLinear）[6]结合序列分解与线性映射，TimeMixer[7]采用多尺度混合，LightTS[8]通过采样导向的多层感知器（multilayer perceptron，MLP）实现快速预测。本文以分解线性预测主干为基础研究尺度间融合，多分辨率建模与轻量预测是其方法依据。</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融合比例能否依据窗口状态调整并降低整体预测误差，是本文在尺度专家结构一致的条件下考察的问题。其出发点在于，同一窗口经不同时间分辨率处理后所保留的信息有差异；固定比例融合虽使用了各尺度预测，其融合比例却不随输入状态改变。</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中，对数变换与标准化作用于历史OD窗口，尺度1、2和4的序列随后由该窗口构造。每个独立DLinear专家分别映射趋势项与余项，得到24步预测并相加形成候选预测。窗口路由网络则读取原始分辨率输入的4项统计特征，输出Softmax权重，对3个尺度候选预测进行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尺度预测以统一的DLinear专家为主干，这一设置使多尺度输入与样本级融合采用相同基础，并控制模型规模。原始尺度用于保留局部变化，较粗尺度通过时间聚合突出慢趋势；各尺度分别完成独立预测后，路由网络再为当前样本确定融合比例。</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L=96和H=24分别设定历史输入长度与未来预测长度，C继续表示数据集中保留的有效OD维度数。本文学习的预测映射为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。一次映射从L步历史给出连续H步预测。由于原始OD流量均非负且变量之间量级差异较大，直接训练时，数值范围较大的变量会与其他变量处于不同尺度。故先采用对数变换，压缩原始流量</w:t>
      </w:r>
      <m:oMath>
        <m:sSub>
          <m:e>
            <m:r>
              <m:t>v</m:t>
            </m:r>
          </m:e>
          <m:sub>
            <m:r>
              <m:t>t</m:t>
            </m:r>
            <m:r>
              <m:rPr>
                <m:sty m:val="p"/>
              </m:rPr>
              <m:t>,</m:t>
            </m:r>
            <m:r>
              <m:t>c</m:t>
            </m:r>
          </m:sub>
        </m:sSub>
      </m:oMath>
      <w:r>
        <w:rPr>
          <w:rFonts w:eastAsia="宋体" w:ascii="Times New Roman" w:hAnsi="Times New Roman" w:cs="Times New Roman"/>
          <w:sz w:val="21"/>
          <w:szCs w:val="21"/>
          <w:color w:val="000000"/>
        </w:rPr>
        <w:t>的数值范围</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为第c个OD变量从训练集中计算的均值与标准差。这组训练统计量同时用于验证集和测试集预处理，两个集合不另行估计。log(1+x)变换在保留非负流量大小关系的同时压缩数值范围，先缓和量级差异；随后逐变量标准化，使各OD维度参与训练、损失计算和参数更新时采用相近数值尺度。训练集、验证集和测试集按时间先后以6∶2∶2划分，滑动窗口则在划分后的各集合内独立生成，窗口内容不取自集合边界另一侧。</w:t>
      </w:r>
    </w:p>
    <w:p>
      <w:pPr>
        <w:spacing w:line="240" w:lineRule="auto"/>
        <w:keepNext w:val="0"/>
        <w:keepLines w:val="1"/>
      </w:pPr>
      <w:r>
        <w:rPr>
          <w:rFonts w:eastAsia="宋体" w:ascii="Times New Roman" w:hAnsi="Times New Roman" w:cs="Times New Roman"/>
          <w:sz w:val="21"/>
          <w:szCs w:val="21"/>
          <w:color w:val="000000"/>
        </w:rPr>
        <w:t>各尺度使用同一预处理历史窗口，该窗口的时间分辨率未变。不同尺度序列在预处理之后构造，为各专家分别保留细粒度变化或较平滑的趋势。</w:t>
      </w:r>
    </w:p>
    <w:p>
      <w:pPr>
        <w:spacing w:line="240" w:lineRule="auto"/>
        <w:keepNext w:val="0"/>
        <w:keepLines w:val="1"/>
      </w:pPr>
      <w:r>
        <w:rPr>
          <w:rFonts w:eastAsia="宋体" w:ascii="Times New Roman" w:hAnsi="Times New Roman" w:cs="Times New Roman"/>
          <w:sz w:val="21"/>
          <w:szCs w:val="21"/>
          <w:color w:val="000000"/>
        </w:rPr>
        <w:t>96步历史和24步预测，在第2.1节的1 h聚合数据上分别为过去96 h与未来24 h。这一设置提供未来一天的流量预测，也供小时级需求变化的观察使用。</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尺度s取自集合S={1,2,4}。序列在时间维采用非重叠平均池化，聚合窗口的大小与步长均为该尺度s的取值。各尺度的构造写为：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在L=96的设置下，原始96步序列作为尺度1输入，以保留短时起伏；相邻2点取均值所得48步序列作为尺度2输入，适度平滑局部变化；相邻4点取均值所得24步序列作为尺度4输入，以突出慢趋势。上述多尺度构造采用非重叠平均池化，不含训练参数，故不增加模型参数。</w:t>
      </w:r>
    </w:p>
    <w:p>
      <w:pPr>
        <w:widowControl/>
        <w:spacing w:line="240" w:lineRule="auto"/>
        <w:keepNext w:val="0"/>
        <w:keepLines w:val="1"/>
      </w:pPr>
      <w:r>
        <w:rPr>
          <w:rFonts w:eastAsia="宋体" w:ascii="Times New Roman" w:hAnsi="Times New Roman" w:cs="Times New Roman"/>
          <w:sz w:val="21"/>
          <w:szCs w:val="21"/>
          <w:color w:val="000000"/>
          <w:b w:val="0"/>
        </w:rPr>
        <w:t>96步历史配合尺度组合{1,2,4}得到整数长度序列，同时兼顾细粒度信息、趋势信息与模型规模。尺度增加后序列缩短，专家分支增多；同一尺度的聚合不重复使用每个原始时间点。</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的序列分别进入对应的DLinear专家[6]，专家仅处理本尺度输入。预测时，DLinear先分解序列，得到表征较慢变化的趋势项和围绕趋势变化的余项，两部分随后各作时间映射。对尺度s输入作长度q=25的中心移动平均，利用局部时间邻域的平滑提取趋势项。平滑前先复制端点来补齐边界不足完整窗口的部分，以保持序列长度；补齐后的序列用</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；越界索引取最近端点值，故分解前后的时间长度相同：</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本文以窗口统计量为融合依据，使权重随样本状态确定。同一样本先由3个DLinear专家独立预测，再融合其3组结果。若把3个尺度都设为1/3，固定融合将对所有窗口采用同一比例；局部波动较强的窗口可能更依赖细粒度信息，变化平稳的窗口则可能更适合较粗尺度的趋势信息。对于原始输入</w:t>
      </w:r>
      <m:oMath>
        <m:sSub>
          <m:e>
            <m:r>
              <m:rPr>
                <m:sty m:val="bi"/>
              </m:rPr>
              <m:t>X</m:t>
            </m:r>
          </m:e>
          <m:sub>
            <m:r>
              <m:t>n</m:t>
            </m:r>
          </m:sub>
        </m:sSub>
      </m:oMath>
      <w:r>
        <w:rPr>
          <w:rFonts w:eastAsia="宋体" w:ascii="Times New Roman" w:hAnsi="Times New Roman" w:cs="Times New Roman"/>
          <w:sz w:val="21"/>
          <w:szCs w:val="21"/>
          <w:color w:val="000000"/>
        </w:rPr>
        <w:t>，用于反映当前窗口状态的四维统计向量为</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，其各统计量按下式定义</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路由器以四维统计向量作为输入，两层感知器输出3个尺度的未归一化分数，隐藏层设为16维。尺度专家承担完整OD流量预测，尺度融合分数则由路由器计算。路由参数规模通过低维统计量和较小隐藏层控制，计算无需额外的循环网络、注意力网络等时序编码器。采用修正线性单元（rectified linear unit，ReLU）激活隐藏层，尺度分数计算为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3个DLinear专家的输出按式（13）使用上述权重加权求和，求得最终预测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。该组权重随输入窗口确定，各窗口中的全部OD变量共用同一权重。</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最终模型以验证集MSE为依据选取，参数更新则采用自适应矩估计（adaptive moment estimation，Adam）优化器。</w:t>
      </w:r>
    </w:p>
    <w:p>
      <w:pPr>
        <w:widowControl/>
        <w:spacing w:line="240" w:lineRule="auto"/>
        <w:keepNext w:val="0"/>
        <w:keepLines w:val="1"/>
      </w:pPr>
      <w:r>
        <w:rPr>
          <w:rFonts w:eastAsia="宋体" w:ascii="Times New Roman" w:hAnsi="Times New Roman" w:cs="Times New Roman"/>
          <w:sz w:val="21"/>
          <w:szCs w:val="21"/>
          <w:color w:val="000000"/>
        </w:rPr>
        <w:t>历史OD窗口在推理时沿用训练阶段确定的预处理规则，之后经过多尺度专家预测与路由融合，形成未来多步输出。这些结果可作为后续网络需求分析的输入。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本文从CESNET TS-Zoo[9]选用1 h聚合Abilene[10]和GÉANT[11]流量矩阵，规模与窗口数见表1。Abilene保留144维有效OD变量，共4656个时间点；GÉANT剔除恒定通道后为524维，时间点数为2849。两套数据采用L=96、H=24的输入与预测设置，预处理遵循第1.1节；训练、验证、测试按时间顺序以6∶2∶2划分。</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测试集仅用于最终统计，最终参数依据验证集MSE选取；尺度专家和可训练融合参数在训练中共同优化。所有模型的数据划分、输入和预测长度及评价指标一致，批量大小均为16，均采用Adam优化器，最优超参数未分别搜索。DLinear与各多尺度模型的学习率为0.001，最多训练30轮，验证集MSE连续6轮无改善时提前停止。LightTS则以0.0001学习率最多训练50轮，早停耐心值为10轮。</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公开实现来自THUML，LightTS的分块长度取24、模型维度参数取512。DLinear及各尺度专家使用25的移动平均窗口，路由隐藏层维度设为16。Python 3.11.9和PyTorch 2.5.1为本实验的软件版本。</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指标在标准化空间中计算，取值较小表示预测误差较低。MSE更易受较大误差影响，MAE刻画平均绝对偏差，RMSE补充误差幅值。表2与表3分别列种子42～44及42～49的均值±标准差，标准差用于表示种子间波动。相对改进率按共同种子逐一配对计算后再求平均，不使用表内四舍五入后的均值。以配对种子改进率的均值及标准误为基础，并采用自由度为7的t分布计算95%置信区间。</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两类基线下各指标的平均改进率均为正，随机种子间的分布见图3。Abilene相对DLinear的MSE、MAE、RMSE平均改进率分别为2.77%、8.01%、1.40%；其中MSE和RMSE在8次实验中全部改善。GÉANT三项指标分别为2.35%、1.32%、1.22%，但跨越0%的结果更多。换用固定等权模型作对照时，Abilene分别改进1.65%、8.92%、0.84%，GÉANT分别改进4.54%、3.05%、2.37%。</w:t>
      </w:r>
    </w:p>
    <w:p>
      <w:pPr>
        <w:widowControl/>
        <w:spacing w:line="240" w:lineRule="auto"/>
        <w:keepNext w:val="0"/>
        <w:keepLines w:val="1"/>
      </w:pPr>
      <w:r>
        <w:rPr>
          <w:rFonts w:eastAsia="宋体" w:ascii="Times New Roman" w:hAnsi="Times New Roman" w:cs="Times New Roman"/>
          <w:sz w:val="21"/>
          <w:szCs w:val="21"/>
          <w:color w:val="000000"/>
        </w:rPr>
        <w:t>八次重复实验所得平均MSE表明，本文方法优于表3中的两类常权重对照；GÉANT种子43相对恒定输入路由的退步幅度仍为12.78%。为进一步观察预测行为，图4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图4中，高真实值区间的分组预测低于真实值，四种模型都有这一现象，本文方法的平均偏差较小。与本文方法相比，DLinear、固定等权及恒定输入路由模型在典型轨迹四例中的三例具有更高的24步均方误差。Abilene典型波动窗口为例外，本文方法在这一例中的结果较差。分组结果与典型轨迹反映预测行为，整体误差比较仍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测试窗口的波动分组沿用训练窗口的三分位数阈值，波动强度由平均绝对一阶差分度量。相对全局权重模型，Abilene低、中、高波动组的逐种子平均MSE改进率依次为4.43%、1.90%、1.69%，对应15、406、392个窗口。GÉANT没有满足训练阈值的低波动测试窗口，中、高组分别有76、375个窗口，改进率分别为5.85%、4.06%。两套数据的权重变化亦不相同：Abilene高波动组的尺度1平均权重较中波动组高，误差优势却未增强；GÉANT中波动组与高波动组的权重近似相同。不同波动条件下所得误差改善幅度因此存在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前向计算开销在预测长度24、种子42～49的8个检查点上单独测量。采用批量大小16，提前加载测试张量，并在评估模式下关闭梯度计算。计时流程为每个检查点预热20批后，对完整测试集重复计时10次；各次总耗时先除以批次数，10次结果求平均后再对8个检查点平均。本文方法在Abilene、GÉANT上的平均每批前向耗时分别为2.65 ms、2.61 ms，固定等权模型分别为2.38 ms、2.10 ms，单尺度DLinear分别为0.77 ms、0.70 ms。测量仅覆盖模型前向计算，数据读取和传输不在计时范围内。</w:t>
      </w:r>
    </w:p>
    <w:p>
      <w:pPr>
        <w:keepNext w:val="0"/>
        <w:keepLines w:val="1"/>
        <w:spacing w:line="240" w:lineRule="auto"/>
      </w:pPr>
      <w:r>
        <w:rPr>
          <w:rFonts w:eastAsia="宋体" w:ascii="Times New Roman" w:hAnsi="Times New Roman" w:cs="Times New Roman"/>
          <w:sz w:val="21"/>
          <w:szCs w:val="21"/>
          <w:color w:val="000000"/>
          <w:b w:val="0"/>
        </w:rPr>
        <w:t xml:space="preserve">对于小时级网络管理，运维模块可在观测序列更新后，沿用训练阶段的预处理规则，将各OD最近96 h流量构造成历史窗口。对各OD未来24 h逐小时需求的估计在一次预测中完成，覆盖全部有效OD变量；后续需求分析可按时间与节点对组织。</w:t>
      </w:r>
    </w:p>
    <w:p>
      <w:pPr>
        <w:keepNext w:val="0"/>
        <w:keepLines w:val="1"/>
        <w:spacing w:line="240" w:lineRule="auto"/>
      </w:pPr>
      <w:r>
        <w:rPr>
          <w:rFonts w:eastAsia="宋体" w:ascii="Times New Roman" w:hAnsi="Times New Roman" w:cs="Times New Roman"/>
          <w:sz w:val="21"/>
          <w:szCs w:val="21"/>
          <w:color w:val="000000"/>
          <w:b w:val="0"/>
        </w:rPr>
        <w:t xml:space="preserve">恢复原始流量量纲后，预测输出才用于实际需求分析。恢复时以训练阶段保存的逐OD统计量先作逆标准化，随后作逆对数变换，将标准化空间内的数值还原。网络拓扑和路由关系用于把各OD预测需求汇总至对应链路，再通过与链路容量的比较，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训练集各OD的第90百分位用作高需求阈值，超过对应阈值的真实值所在测试预测点才参与评价。种子42～49的24步预测在标准化空间内统计MAE及平均低估幅度。对后者，真实值减预测值仅取正值部分，再在全部高需求预测点上平均。高需求预测点在Abilene占13.61%，在GÉANT占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图4的校准分析与高需求评价结果相对应，本文方法的平均绝对误差及低估幅度较低。Abilene改善较稳定，而GÉANT两项配对改进率的95%置信区间都跨零；这些结果可供需求上升时段观察和容量复核参考。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用于协调独立分解线性专家与低维窗口路由，以较小参数规模完成小时级骨干网流量预测。重复实验在两套数据上均得到低于所设单尺度与固定融合对照的平均误差，这些预测结果可为未来一天需求分析提供参考。后续仍需结合更多网络数据与预测长度，检验模型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