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本文面向小时级骨干网络流量的多步预测，设计轻量自适应多尺度预测模型。历史窗口经三种时间分辨率表示后，局部变化与较慢趋势分别得以保留；独立分解线性专家据此生成候选预测。路由网络提取窗口的总体水平、离散程度、末时状态和平均变化强度，两层感知器再计算融合权重，使融合环节依据窗口状态完成。实验在Abilene和GÉANT上进行，输入固定为96步，预测固定为24步。3个共同随机种子下，相对单尺度分解线性模型的均方误差降幅依次为4.07%和4.54%；相对采样导向轻量模型LightTS，降幅依次为29.80%和46.89%。全局可学习权重、恒定输入路由两项对照纳入8种子消融，Abilene逐种子平均改进率均约1.80%，GÉANT依次为4.31%和4.97%。由多尺度预测和低维路由组成的模型，以较少的融合参数取得较低平均误差，可为未来一天的网络需求分析与容量规划提供预测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原始时间分辨率的序列保留局部细节，时间聚合则在平滑短时扰动后突出较慢趋势，两者形成尺度互补。Zhou等[5]采用深度回声状态网络提取多分辨率信息。轻量预测方面，分解线性模型（decomposition linear model，DLinear）[6]将序列分解与线性映射结合；TimeMixer[7]使用多尺度混合；LightTS[8]以采样导向的多层感知器（multilayer perceptron，MLP）完成快速预测。在这些方法基础上，本文选择分解线性预测主干开展尺度间融合研究，方法依据包括多分辨率建模和轻量预测。</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不同时间分辨率的处理使同一窗口保留的信息有所不同。固定比例融合可以使用各尺度预测，但对不同输入状态始终采用同一融合比例。本文保持尺度专家结构一致，考察依据窗口状态调整融合比例能否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的预测计算从历史OD窗口开始：先作对数变换与标准化，再构造尺度1、2和4的序列。独立DLinear专家将趋势项与余项分别映射为24步预测，二者相加得到候选预测。原始分辨率输入的4项统计特征送入窗口路由网络，生成Softmax权重；随后对3个尺度候选预测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各尺度分别预测，当前样本的融合比例再由路由网络确定。原始尺度保留局部变化，较粗尺度以时间聚合突出慢趋势。多尺度输入与样本级融合均以统一的DLinear专家为基础，从而在相同预测主干上实现尺度预测，并控制模型规模。</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历史输入长度设为L=96，未来预测长度设为H=24，C表示数据中保留的有效OD维度数。预测映射记为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。该映射利用L步历史一次给出连续H步预测。原始OD流量均非负，各变量量级却存在较大差异，直接训练会使数值范围较大的变量与其他变量处于不同尺度。预处理首先采用对数变换，将原始流量</w:t>
      </w:r>
      <m:oMath>
        <m:sSub>
          <m:e>
            <m:r>
              <m:t>v</m:t>
            </m:r>
          </m:e>
          <m:sub>
            <m:r>
              <m:t>t</m:t>
            </m:r>
            <m:r>
              <m:rPr>
                <m:sty m:val="p"/>
              </m:rPr>
              <m:t>,</m:t>
            </m:r>
            <m:r>
              <m:t>c</m:t>
            </m:r>
          </m:sub>
        </m:sSub>
      </m:oMath>
      <w:r>
        <w:rPr>
          <w:rFonts w:eastAsia="宋体" w:ascii="Times New Roman" w:hAnsi="Times New Roman" w:cs="Times New Roman"/>
          <w:sz w:val="21"/>
          <w:szCs w:val="21"/>
          <w:color w:val="000000"/>
        </w:rPr>
        <w:t>的数值范围压缩为</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第c个OD变量在训练集上计算的均值与标准差。验证集和测试集直接使用这组训练统计量，不另行估计。预处理通过log(1+x)变换保留非负流量的大小关系并压缩数值范围，缓和量级差异；再逐变量标准化，使各OD维度在训练、损失计算和参数更新中处于相近数值尺度。按时间先后划分的训练集、验证集和测试集比例为6∶2∶2；各集合划分完成后分别生成滑动窗口，窗口不跨越集合边界。</w:t>
      </w:r>
    </w:p>
    <w:p>
      <w:pPr>
        <w:spacing w:line="240" w:lineRule="auto"/>
        <w:keepNext w:val="0"/>
        <w:keepLines w:val="1"/>
      </w:pPr>
      <w:r>
        <w:rPr>
          <w:rFonts w:eastAsia="宋体" w:ascii="Times New Roman" w:hAnsi="Times New Roman" w:cs="Times New Roman"/>
          <w:sz w:val="21"/>
          <w:szCs w:val="21"/>
          <w:color w:val="000000"/>
        </w:rPr>
        <w:t>各尺度使用同一预处理历史窗口，该窗口的时间分辨率未变。不同尺度序列在预处理之后构造，为各专家分别保留细粒度变化或较平滑的趋势。</w:t>
      </w:r>
    </w:p>
    <w:p>
      <w:pPr>
        <w:spacing w:line="240" w:lineRule="auto"/>
        <w:keepNext w:val="0"/>
        <w:keepLines w:val="1"/>
      </w:pPr>
      <w:r>
        <w:rPr>
          <w:rFonts w:eastAsia="宋体" w:ascii="Times New Roman" w:hAnsi="Times New Roman" w:cs="Times New Roman"/>
          <w:sz w:val="21"/>
          <w:szCs w:val="21"/>
          <w:color w:val="000000"/>
        </w:rPr>
        <w:t>96步历史和24步预测，在第2.1节的1 h聚合数据上分别为过去96 h与未来24 h。这一设置提供未来一天的流量预测，也供小时级需求变化的观察使用。</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对尺度s，时间维的非重叠平均池化同时将聚合窗口大小和步长设为该尺度的取值。尺度集合为S={1,2,4}，各序列按下式构造，其中s取自该集合：</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直接使用原始96步序列，保留短时起伏。尺度2由相邻2点的均值形成48步序列，对局部变化作适度平滑；尺度4由相邻4点的均值形成24步序列，突出慢趋势。非重叠平均池化完成上述构造，整个过程不含训练参数，也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尺度组合{1,2,4}将96步历史转换为整数长度序列，在细粒度信息、趋势信息和模型规模之间作出取舍。增加尺度会缩短相应序列，同时增加专家分支。每个原始时间点在同一尺度的聚合中只使用一次。</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DLinear专家[6]分别接收尺度1、2和4的序列，仅处理对应尺度的输入。DLinear预测时先分解输入序列，得到趋势项与余项：前者表征较慢变化，后者表征围绕趋势的变化；再对两部分各作时间映射。尺度s的趋势项由长度q=25的中心移动平均提取，局部时间邻域在此过程中得到平滑。边界不足完整窗口时，复制端点补齐，以保证平滑前后的序列等长。补齐后的序列记作</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，越界索引均取最近端点值，分解后的时间长度因此与输入一致：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融合权重由窗口统计量确定，因此可随样本状态调整。3个DLinear专家先分别预测同一样本，融合环节再汇总3组结果。若3个尺度的权重均设为1/3，所有窗口便采用固定融合比例。局部波动较强时，细粒度信息可能更有用；变化平稳时，较粗尺度的趋势信息可能更适合。当前窗口状态由原始输入</w:t>
      </w:r>
      <m:oMath>
        <m:sSub>
          <m:e>
            <m:r>
              <m:rPr>
                <m:sty m:val="bi"/>
              </m:rPr>
              <m:t>X</m:t>
            </m:r>
          </m:e>
          <m:sub>
            <m:r>
              <m:t>n</m:t>
            </m:r>
          </m:sub>
        </m:sSub>
      </m:oMath>
      <w:r>
        <w:rPr>
          <w:rFonts w:eastAsia="宋体" w:ascii="Times New Roman" w:hAnsi="Times New Roman" w:cs="Times New Roman"/>
          <w:sz w:val="21"/>
          <w:szCs w:val="21"/>
          <w:color w:val="000000"/>
        </w:rPr>
        <w:t>的四维统计向量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表示，各统计量定义如下</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四维统计向量进入两层感知器后，经16维隐藏层输出3个尺度的未归一化分数。完整OD流量由尺度专家预测，路由器计算的则是尺度融合分数。较小隐藏层配合低维统计量控制路由参数规模，不再引入循环网络、注意力网络等额外时序编码器。隐藏层以修正线性单元（rectified linear unit，ReLU）激活，尺度分数按下式计算</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式（13）将3个DLinear专家的输出按上述权重加权求和，得到最终预测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。输入窗口决定这一组权重，同一窗口内的全部OD变量共用该组取值。</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estimation，Adam）优化器更新参数，并按验证集MSE选取最终模型。</w:t>
      </w:r>
    </w:p>
    <w:p>
      <w:pPr>
        <w:widowControl/>
        <w:spacing w:line="240" w:lineRule="auto"/>
        <w:keepNext w:val="0"/>
        <w:keepLines w:val="1"/>
      </w:pPr>
      <w:r>
        <w:rPr>
          <w:rFonts w:eastAsia="宋体" w:ascii="Times New Roman" w:hAnsi="Times New Roman" w:cs="Times New Roman"/>
          <w:sz w:val="21"/>
          <w:szCs w:val="21"/>
          <w:color w:val="000000"/>
        </w:rPr>
        <w:t>推理阶段先依训练时确定的规则处理历史OD窗口，再进行多尺度专家预测和路由融合，输出未来多步流量。后续网络需求分析可读取这些预测结果。</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实验使用CESNET TS-Zoo[9]提供的1 h聚合流量矩阵Abilene[10]与GÉANT[11]，数据规模和窗口数列于表1。其中，Abilene含4656个时间点及144维有效OD变量；GÉANT含2849个时间点，剔除恒定通道后保留524维。输入和预测长度在两套数据上均设为L=96、H=24。预处理见第1.1节，训练、验证、测试集按时间先后划分，比例为6∶2∶2。</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训练同时优化尺度专家和可训练融合参数，最终参数按验证集MSE选取，测试集只作最终统计。各模型采用相同的数据划分、输入与预测长度和评价指标，并以16为批量大小使用Adam优化器，未对各模型分别搜索最优超参数。DLinear和各多尺度模型最多训练30轮，学习率设为0.001；若验证集MSE连续6轮未改善，则提前停止。LightTS最多训练50轮，学习率设为0.0001，早停耐心值设为10轮。</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公开实现来自THUML，LightTS的分块长度取24、模型维度参数取512。DLinear及各尺度专家使用25的移动平均窗口，路由隐藏层维度设为16。Python 3.11.9和PyTorch 2.5.1为本实验的软件版本。</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指标取自标准化空间，数值越小，预测误差越低。其中，较大误差对MSE的影响更强，MAE表示平均绝对偏差，RMSE用于补充误差幅值。种子42～44与42～49的均值±标准差分别列在表2和表3，标准差反映种子间波动。相对改进率先在共同种子内逐一配对计算，再求平均；表中经四舍五入的均值不参与这一计算。95%置信区间以配对种子改进率的均值和标准误计算，使用自由度为7的t分布。</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图3中的随机种子分布对应两类基线，各项指标的平均改进率均为正。以DLinear作对照，Abilene的MSE、MAE和RMSE平均降幅依次为2.77%、8.01%和1.40%，MSE、RMSE在8次实验中均改善；GÉANT依次为2.35%、1.32%和1.22%，跨越0%的结果较多。以固定等权模型作对照，Abilene三项指标依次改善1.65%、8.92%和0.84%，GÉANT依次改善4.54%、3.05%和2.37%。</w:t>
      </w:r>
    </w:p>
    <w:p>
      <w:pPr>
        <w:widowControl/>
        <w:spacing w:line="240" w:lineRule="auto"/>
        <w:keepNext w:val="0"/>
        <w:keepLines w:val="1"/>
      </w:pPr>
      <w:r>
        <w:rPr>
          <w:rFonts w:eastAsia="宋体" w:ascii="Times New Roman" w:hAnsi="Times New Roman" w:cs="Times New Roman"/>
          <w:sz w:val="21"/>
          <w:szCs w:val="21"/>
          <w:color w:val="000000"/>
        </w:rPr>
        <w:t>表3的八次重复实验中，本文方法的平均MSE低于两类常权重对照。逐次结果仍有差异：GÉANT的种子43相对恒定输入路由退步12.78%。在平均误差比较之外，图4从全测试点预测偏差和典型轨迹观察预测行为，轨迹按真实序列波动选取。</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四种模型在图4的高真实值区间均有分组预测低于真实值的现象，本文方法的平均偏差较小。四例典型轨迹中，本文方法在三例上的24步均方误差低于DLinear、固定等权和恒定输入路由模型；在Abilene典型波动窗口这一例中，本文方法的结果较差。这些分组与轨迹用于观察预测行为，表3给出整体误差比较。</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以平均绝对一阶差分度量波动强度，再按训练窗口的三分位数阈值划分测试窗口。Abilene低、中、高波动组分别含15、406、392个窗口，相对全局权重模型的逐种子平均MSE改进率为4.43%、1.90%、1.69%。GÉANT测试窗口没有落入训练阈值定义的低波动组，中、高波动组分别含76、375个窗口，相应改进率为5.85%、4.06%。权重与误差在不同波动条件下的变化并不一致。Abilene高波动组的尺度1平均权重高于中波动组，误差优势未随之增强；GÉANT中、高波动组权重近似相同，但误差改善幅度不同。</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计时使用种子42～49的8个检查点，预测长度设为24，单独记录前向计算开销。测试张量提前加载，以16为批量大小在评估模式下关闭梯度计算。每个检查点先预热20批，再对完整测试集重复计时10次。总耗时在各次测量中除以批次数，所得10次结果先求平均，随后汇总8个检查点的平均值。Abilene和GÉANT上，本文方法平均每批分别耗时2.65 ms、2.61 ms；固定等权模型分别为2.38 ms、2.10 ms；单尺度DLinear分别为0.77 ms、0.70 ms。计时范围限于模型前向计算，不包括数据读取和传输。</w:t>
      </w:r>
    </w:p>
    <w:p>
      <w:pPr>
        <w:keepNext w:val="0"/>
        <w:keepLines w:val="1"/>
        <w:spacing w:line="240" w:lineRule="auto"/>
      </w:pPr>
      <w:r>
        <w:rPr>
          <w:rFonts w:eastAsia="宋体" w:ascii="Times New Roman" w:hAnsi="Times New Roman" w:cs="Times New Roman"/>
          <w:sz w:val="21"/>
          <w:szCs w:val="21"/>
          <w:color w:val="000000"/>
          <w:b w:val="0"/>
        </w:rPr>
        <w:t xml:space="preserve">观测序列更新后，小时级网络管理中的运维模块可提取各OD最近96 h流量，沿用训练阶段预处理规则构造历史窗口。一次预测覆盖全部有效OD变量，估计各OD未来24 h的逐小时需求。结果随后可按时间和节点对组织，供后续需求分析使用。</w:t>
      </w:r>
    </w:p>
    <w:p>
      <w:pPr>
        <w:keepNext w:val="0"/>
        <w:keepLines w:val="1"/>
        <w:spacing w:line="240" w:lineRule="auto"/>
      </w:pPr>
      <w:r>
        <w:rPr>
          <w:rFonts w:eastAsia="宋体" w:ascii="Times New Roman" w:hAnsi="Times New Roman" w:cs="Times New Roman"/>
          <w:sz w:val="21"/>
          <w:szCs w:val="21"/>
          <w:color w:val="000000"/>
          <w:b w:val="0"/>
        </w:rPr>
        <w:t xml:space="preserve">实际需求分析需要将预测输出恢复至原始流量量纲。训练阶段保存的逐OD统计量先用于逆标准化，再以逆对数变换还原标准化空间内的数值。依据网络拓扑和路由关系，可将各OD预测需求汇总到对应链路；链路需求与容量的比较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训练集各OD的第90百分位用作高需求阈值，超过对应阈值的真实值所在测试预测点才参与评价。种子42～49的24步预测在标准化空间内统计MAE及平均低估幅度。对后者，真实值减预测值仅取正值部分，再在全部高需求预测点上平均。高需求预测点在Abilene占13.61%，在GÉANT占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高需求评价与图4校准分析的方向一致，本文方法的平均绝对误差和低估幅度较低。Abilene的改善较稳定；GÉANT两项配对改进率的95%置信区间均跨零。需求上升时段的观察与容量复核可参考这些结果。</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本文将独立分解线性专家与低维窗口路由结合，通过自适应多尺度加权完成小时级骨干网流量预测，参数规模较小。两套数据的重复实验中，平均误差均低于所设单尺度和固定融合对照，所得预测可为未来一天的需求分析提供参考。模型适用性还需在更多网络数据和预测长度下检验。</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