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小时级骨干网络流量的多步预测需兼顾局部变化与较慢趋势，本文为此构建轻量自适应多尺度预测模型。历史窗口转换为三种时间分辨率的序列后，候选预测分别由独立分解线性专家生成。融合权重则由两层感知器计算，其输入为路由网络提取的窗口总体水平、离散程度、末时状态和平均变化强度。Abilene和GÉANT实验采用输入96步、预测24步的设置。以3个共同随机种子的均方误差比较，本文方法相对单尺度分解线性模型分别降低4.07%和4.54%，相对采样导向轻量模型LightTS分别降低29.80%和46.89%。在8种子消融中，以全局可学习权重和恒定输入路由为对照，Abilene上的逐种子平均改进率均约1.80%，GÉANT上分别为4.31%和4.97%。多尺度预测与低维路由结合后，平均误差较低，所增加的融合参数较少。这些预测结果可供未来一天的网络需求分析与容量规划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骨干网节点对之间的通信需求以源—目的节点对（origin-destination，OD）流量描述，容量规划则需要掌握各节点对未来的需求变化。本文针对小时级OD流量预测未来一天的需求，供高需求时段观察和容量安排参考。流量变化的复杂性与云计算、视频业务和数据中心互联所增加的业务迁移与聚集有关。各OD变量量级不同，周期变化又与局部波动、突发变化叠加，因此较慢趋势和短时变化均需由预测模型刻画。</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局部细节可在原始时间分辨率下保留；采用时间聚合后，短时扰动得到平滑，较慢趋势更为突出。为利用各尺度互补性，Zhou等[5]以深度回声状态网络提取多分辨率信息。分解线性模型（decomposition linear model，DLinear）[6]的预测依靠序列分解和线性映射，TimeMixer[7]则采用多尺度混合。LightTS[8]使用采样导向的多层感知器（multilayer perceptron，MLP）实现快速预测。多分辨率建模和轻量预测已有这些方法作为基础，本文据此在分解线性预测的主干上考察尺度间的融合方式。</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同一历史窗口在不同时间分辨率下保留的信息有所不同。固定比例融合能够利用各尺度的预测，却使融合比例在输入状态改变时仍保持不变。本文据此考察：当尺度专家结构保持一致时，根据窗口状态生成融合权重，能否进一步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所示流程以历史OD窗口为输入，先作对数变换和标准化，再构造尺度1、2和4的输入序列，由独立DLinear专家分别处理。专家内部将趋势项、余项各自映射到24步预测，两部分相加后形成候选预测。对这些候选预测，窗口路由网络利用原始分辨率输入的4项统计特征产生Softmax权重，完成3个尺度的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局部变化由原始尺度保留，慢趋势在较粗尺度的时间聚合中得到突出。各尺度先独立预测，随后由路由网络确定样本融合比例。各分支统一采用DLinear专家，使规模受到控制，并为多尺度输入与样本级融合保留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，其中t为时间索引，C为有效OD变量数。监督学习样本由连续序列沿时间轴生成的滑动窗口构成；第n个样本由历史窗口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覆盖其后连续的H个时间点。多个OD变量过去L步的联合变化构成模型所读取的历史信息，据此估计未来H步的取值。第n个样本的输入与目标表示为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历史输入取L=96步，未来预测取H=24步；C仍表示各数据集保留的有效OD维度数。将需要学习的预测映射记为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。一次预测读取的历史范围为L，并连续输出H步。各变量的原始OD流量均非负，但量级差异较大，直接以原始数值训练会使数值范围较大的变量与其他变量处于不同尺度。本文因此采用对数变换，压缩原始流量</w:t>
      </w:r>
      <m:oMath>
        <m:sSub>
          <m:e>
            <m:r>
              <m:t>v</m:t>
            </m:r>
          </m:e>
          <m:sub>
            <m:r>
              <m:t>t</m:t>
            </m:r>
            <m:r>
              <m:rPr>
                <m:sty m:val="p"/>
              </m:rPr>
              <m:t>,</m:t>
            </m:r>
            <m:r>
              <m:t>c</m:t>
            </m:r>
          </m:sub>
        </m:sSub>
      </m:oMath>
      <w:r>
        <w:rPr>
          <w:rFonts w:eastAsia="宋体" w:ascii="Times New Roman" w:hAnsi="Times New Roman" w:cs="Times New Roman"/>
          <w:sz w:val="21"/>
          <w:szCs w:val="21"/>
          <w:color w:val="000000"/>
        </w:rPr>
        <w:t>的数值范围</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为训练集中第c个OD变量的均值与标准差。验证集、测试集直接沿用这组训练统计量完成预处理，不再重新估计。非负流量的大小关系经log(1+x)变换得以保留，数值范围被压缩，原有量级差异随之缓和。逐变量标准化在此之后进行，使训练、损失计算和参数更新所涉及的各OD维度采用相近数值尺度。训练集、验证集和测试集依时间先后按6∶2∶2划分；滑动窗口在每个集合内部独立生成，不跨越集合边界。</w:t>
      </w:r>
    </w:p>
    <w:p>
      <w:pPr>
        <w:spacing w:line="240" w:lineRule="auto"/>
        <w:keepNext w:val="0"/>
        <w:keepLines w:val="1"/>
      </w:pPr>
      <w:r>
        <w:rPr>
          <w:rFonts w:eastAsia="宋体" w:ascii="Times New Roman" w:hAnsi="Times New Roman" w:cs="Times New Roman"/>
          <w:sz w:val="21"/>
          <w:szCs w:val="21"/>
          <w:color w:val="000000"/>
        </w:rPr>
        <w:t>历史窗口经预处理后仍保留原有的时间分辨率，供各尺度共同使用。随后才构造不同尺度序列，使各专家分别接收细粒度变化与较平滑的趋势。</w:t>
      </w:r>
    </w:p>
    <w:p>
      <w:pPr>
        <w:spacing w:line="240" w:lineRule="auto"/>
        <w:keepNext w:val="0"/>
        <w:keepLines w:val="1"/>
      </w:pPr>
      <w:r>
        <w:rPr>
          <w:rFonts w:eastAsia="宋体" w:ascii="Times New Roman" w:hAnsi="Times New Roman" w:cs="Times New Roman"/>
          <w:sz w:val="21"/>
          <w:szCs w:val="21"/>
          <w:color w:val="000000"/>
        </w:rPr>
        <w:t>第2.1节采用1 h聚合数据，因此96步历史输入覆盖过去96 h，24步预测覆盖未来24 h。对小时级需求变化的观察与未来一天的流量预测，均可采用这一设置。</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尺度集合设为S={1,2,4}。时间维聚合的窗口大小及步长均由尺度s规定，二者取相同值。任一尺度s的序列通过非重叠平均池化构造为：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当L=96时，尺度1使用原始96步序列，保留短时起伏。尺度2对相邻2点取均值，形成48步序列，局部变化得到适度平滑；尺度4对相邻4点取均值，形成24步序列，慢趋势进一步突出。多尺度构造所用的非重叠平均池化无需训练参数，因而不增加模型参数。</w:t>
      </w:r>
    </w:p>
    <w:p>
      <w:pPr>
        <w:widowControl/>
        <w:spacing w:line="240" w:lineRule="auto"/>
        <w:keepNext w:val="0"/>
        <w:keepLines w:val="1"/>
      </w:pPr>
      <w:r>
        <w:rPr>
          <w:rFonts w:eastAsia="宋体" w:ascii="Times New Roman" w:hAnsi="Times New Roman" w:cs="Times New Roman"/>
          <w:sz w:val="21"/>
          <w:szCs w:val="21"/>
          <w:color w:val="000000"/>
          <w:b w:val="0"/>
        </w:rPr>
        <w:t>96步历史在尺度组合{1,2,4}下形成整数长度序列，兼顾细粒度信息、趋势信息与模型规模。尺度增加时，序列长度缩短，专家分支则增多。同一尺度的聚合过程中，每个原始时间点只参与一次。</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DLinear专家[6]分别处理尺度1、2和4，每个专家仅接收对应尺度的序列。DLinear先从序列中分解出变化较慢的趋势项和围绕趋势变化的余项，再分别作时间映射，以此完成预测。对于尺度s的输入，趋势项由长度q=25的中心移动平均在局部时间邻域内平滑提取。若边界处不足完整窗口，则复制端点补齐缺少部分，使平滑后的序列不缩短；记补齐后的序列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；越界索引使用最近端点值，分解前后的时间长度因而保持一致：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3个DLinear专家对同一样本各自预测，其3组结果融合后构成最终输出。将3个尺度固定为各占1/3时，所有输入窗口均使用同一融合比例。若局部波动较强，预测可能更依赖细粒度信息；若变化平稳，则可能更依赖较粗尺度的趋势信息。因此，本文根据窗口统计量计算权重，令融合比例随样本状态变化。对于原始输入</w:t>
      </w:r>
      <m:oMath>
        <m:sSub>
          <m:e>
            <m:r>
              <m:rPr>
                <m:sty m:val="bi"/>
              </m:rPr>
              <m:t>X</m:t>
            </m:r>
          </m:e>
          <m:sub>
            <m:r>
              <m:t>n</m:t>
            </m:r>
          </m:sub>
        </m:sSub>
      </m:oMath>
      <w:r>
        <w:rPr>
          <w:rFonts w:eastAsia="宋体" w:ascii="Times New Roman" w:hAnsi="Times New Roman" w:cs="Times New Roman"/>
          <w:sz w:val="21"/>
          <w:szCs w:val="21"/>
          <w:color w:val="000000"/>
        </w:rPr>
        <w:t>，提取用于描述当前窗口状态的四维统计向量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，其中各统计量定义如下</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四维统计向量经两层感知器得到3个尺度的未归一化分数，隐藏层维数取16。完整OD流量的预测由尺度专家承担，路由器负责计算尺度融合分数。为控制路由参数规模，这里使用低维统计量及较小隐藏层，不额外加入循环网络、注意力网络等时序编码器。修正线性单元（rectified linear unit，ReLU）用于隐藏层，尺度分数写为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3个DLinear专家的预测结果按上述权重加权求和，如式（13）所示，最终得到预测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。权重由输入窗口确定，同一窗口内的全部OD变量共用该组权重。</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参数更新使用自适应矩估计（adaptive moment estimation，Adam）优化器。最终使用的模型依据验证集MSE选取。</w:t>
      </w:r>
    </w:p>
    <w:p>
      <w:pPr>
        <w:widowControl/>
        <w:spacing w:line="240" w:lineRule="auto"/>
        <w:keepNext w:val="0"/>
        <w:keepLines w:val="1"/>
      </w:pPr>
      <w:r>
        <w:rPr>
          <w:rFonts w:eastAsia="宋体" w:ascii="Times New Roman" w:hAnsi="Times New Roman" w:cs="Times New Roman"/>
          <w:sz w:val="21"/>
          <w:szCs w:val="21"/>
          <w:color w:val="000000"/>
        </w:rPr>
        <w:t>历史OD窗口在推理阶段仍按训练时确定的规则预处理。多尺度专家的预测经路由融合，得到未来多步预测，作为后续网络需求分析可用的输入。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本文使用CESNET TS-Zoo[9]提供的1 h聚合Abilene[10]和GÉANT[11]流量矩阵。Abilene的4656个时间点包含144维有效OD变量；GÉANT有2849个时间点，剔除恒定通道后为524维。数据划分沿时间顺序进行，两套数据均取6∶2∶2比例。L=96、H=24以及第1.1节的预处理规则用于两套数据，表1列出规模与窗口数。</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数据划分、输入和预测长度及评价指标在所有模型间保持相同，批量大小均取16。各模型使用Adam优化器，未分别搜索最优超参数。对DLinear及各多尺度模型，学习率设为0.001，训练上限为30轮；验证集MSE连续6轮无改善即提前停止。LightTS则取0.0001学习率，训练上限为50轮，早停耐心值为10轮。尺度专家与可训练融合参数共同优化，参数选择均以验证集MSE为依据，测试集仅用于最终统计。</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THUML的公开实现用于LightTS，分块长度设为24，模型维度参数取512。DLinear及各尺度专家均使用25的移动平均窗口，路由隐藏层维度取16。实验使用的软件版本分别为Python 3.11.9和PyTorch 2.5.1。</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所有指标均在标准化空间计算，数值越小表示误差越低。较大误差对MSE的影响更强，平均绝对偏差由MAE反映，RMSE补充误差幅值。种子42～44和42～49的结果分别在表2、表3中以均值±标准差汇总，标准差描述种子间波动。相对改进率先由共同种子配对计算，再对各结果取平均，表内四舍五入后的均值不参与该计算。配对种子改进率的均值及标准误用于95%置信区间，计算采用自由度为7的t分布。</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3个共同随机种子的总体基线结果列于表2，本文方法在Abilene和GÉANT上的MSE分别为0.186和0.434。按种子逐一计算，相对DLinear分别降低4.07%和4.54%，相对LightTS分别降低29.80%和46.89%；MAE也呈相同方向变化。逐种子、多指标结果及参数规模的比较见图2，对照仍为LightTS与本文方法。</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以DLinear为对照，Abilene的MSE、MAE和RMSE平均改进率依次为2.77%、8.01%和1.40%，MSE与RMSE在8次实验中均改善。GÉANT对应为2.35%、1.32%和1.22%，跨越0%的情况更多。改用固定等权模型作为对照后，Abilene三项指标的平均改进率依次为1.65%、8.92%和0.84%，GÉANT为4.54%、3.05%和2.37%。两种基线下的平均改进率均为正值；不同随机种子的结果分布则保留在图3中。</w:t>
      </w:r>
    </w:p>
    <w:p>
      <w:pPr>
        <w:widowControl/>
        <w:spacing w:line="240" w:lineRule="auto"/>
        <w:keepNext w:val="0"/>
        <w:keepLines w:val="1"/>
      </w:pPr>
      <w:r>
        <w:rPr>
          <w:rFonts w:eastAsia="宋体" w:ascii="Times New Roman" w:hAnsi="Times New Roman" w:cs="Times New Roman"/>
          <w:sz w:val="21"/>
          <w:szCs w:val="21"/>
          <w:color w:val="000000"/>
        </w:rPr>
        <w:t>对于表3中的两类常权重对照，八次重复实验汇总后，本文方法的平均MSE较低。单独观察GÉANT种子43，相对恒定输入路由仍退步12.78%。全测试点的预测偏差在图4中汇总，同时给出按真实序列波动选取的典型轨迹。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四种模型在高真实值区间的分组预测值均低于真实值，本文方法的平均偏差相对较小。四例中，本文方法有三例取得较低的24步均方误差，均低于DLinear、固定等权及恒定输入路由模型。例外出现在Abilene典型波动窗口，本文方法在该例中较差。图4提供分组结果和典型轨迹以说明预测行为；整体误差仍见表3。</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Abilene三个尺度的汇总平均权重依次取0.257、0.319和0.424，GÉANT对应为0.283、0.318和0.399，均偏离固定等权的1/3。将汇总权重方差按来源区分，GÉANT三个尺度中约96.2%、95.8%和97.7%来自种子间差异；Abilene对应比例为48.7%、86.1%和80.6%。在GÉANT同一种子内部，权重随窗口的变化较小。图5所呈现的是不同尺度的总体权重偏好，以及这些偏好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平均绝对一阶差分用于度量输入窗口的波动强度，分组阈值由训练窗口的三分位数确定，再据此划分测试窗口。Abilene低、中、高波动组的窗口数依次为15、406、392个。以全局权重模型为参照，本文方法的逐种子平均MSE改进率依次为4.43%、1.90%、1.69%。GÉANT采用训练阈值时没有低波动测试窗口，中、高组分别包含76、375个窗口，对应改进率为5.85%和4.06%。Abilene高波动组的尺度1平均权重虽高于中波动组，其误差优势却未增强；GÉANT的中波动组与高波动组权重近似相同。由此可见，各波动条件下的误差改善幅度存在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前向计算开销采用单独计时测量，使用预测长度为24、种子42～49的8个检查点。测试张量预先加载，批量大小取16；计时期间模型处于评估模式，梯度计算关闭。各检查点预热20批后，对完整测试集重复计时10次。每次总耗时先除以批次数，再将10次计时取平均，最后对8个检查点取平均。Abilene和GÉANT上的平均每批前向耗时，本文方法分别为2.65 ms和2.61 ms，固定等权模型分别为2.38 ms和2.10 ms，单尺度DLinear分别为0.77 ms和0.70 ms。数据读取与传输不计入耗时，计时范围仅为模型前向计算。</w:t>
      </w:r>
    </w:p>
    <w:p>
      <w:pPr>
        <w:keepNext w:val="0"/>
        <w:keepLines w:val="1"/>
        <w:spacing w:line="240" w:lineRule="auto"/>
      </w:pPr>
      <w:r>
        <w:rPr>
          <w:rFonts w:eastAsia="宋体" w:ascii="Times New Roman" w:hAnsi="Times New Roman" w:cs="Times New Roman"/>
          <w:sz w:val="21"/>
          <w:szCs w:val="21"/>
          <w:color w:val="000000"/>
          <w:b w:val="0"/>
        </w:rPr>
        <w:t xml:space="preserve">面向小时级网络管理，运维模块可在观测序列更新时读取各OD最近96 h的流量，按训练阶段的预处理规则形成历史窗口，并估计未来24 h各OD的逐小时需求。全部有效OD变量在一次预测中同时覆盖，后续需求分析可据时间和节点对组织。</w:t>
      </w:r>
    </w:p>
    <w:p>
      <w:pPr>
        <w:keepNext w:val="0"/>
        <w:keepLines w:val="1"/>
        <w:spacing w:line="240" w:lineRule="auto"/>
      </w:pPr>
      <w:r>
        <w:rPr>
          <w:rFonts w:eastAsia="宋体" w:ascii="Times New Roman" w:hAnsi="Times New Roman" w:cs="Times New Roman"/>
          <w:sz w:val="21"/>
          <w:szCs w:val="21"/>
          <w:color w:val="000000"/>
          <w:b w:val="0"/>
        </w:rPr>
        <w:t xml:space="preserve">由于预测输出处于标准化空间，实际需求分析应先按训练阶段保存的逐OD统计量逆标准化，再作逆对数变换，以恢复原始流量量纲。结合网络拓扑与路由关系后，可把各OD的预测需求汇总至对应链路；将其与链路容量比较，作为容量安排的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高需求阈值取训练集各OD的第90百分位，评价对象限于真实值超过相应阈值的测试预测点。统计采用种子42～49的24步预测，在标准化空间计算MAE与平均低估幅度。后者即真实值减预测值的正值部分在全部高需求预测点上的平均。Abilene、GÉANT中，高需求预测点分别占13.61%和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上述量化结果与图4的校准分析相互对应，本文方法的高需求平均绝对误差及低估幅度较低。Abilene的改善较稳定，GÉANT两项配对改进率的95%置信区间则均跨零。需求上升时段的观察和容量复核可参考这些结果。</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本文采用自适应多尺度加权，将独立分解线性专家与低维窗口路由结合，以较小参数规模预测小时级骨干网流量。两套数据上的重复实验中，其平均误差均低于所设单尺度和固定融合对照，预测结果可供未来一天的需求分析参考。更多网络数据与预测长度下的适用性仍需后续检验。</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