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小时级骨干网络流量的多步预测需要兼顾局部变化与较慢趋势，本文为此设计轻量自适应多尺度预测模型。模型以三种时间分辨率表示历史窗口，独立分解线性专家分别生成候选预测。路由网络提取当前窗口的总体水平、离散程度、末时状态和平均变化强度，两层感知器据此计算融合权重。以Abilene和GÉANT为实验数据，历史输入取96步，未来预测取24步。在3个共同随机种子下，相对单尺度分解线性模型，本文方法的均方误差分别降低4.07%和4.54%；相对采样导向轻量模型LightTS，降幅分别为29.80%和46.89%。8种子消融以全局可学习权重和恒定输入路由为对照，Abilene逐种子平均改进率均约1.80%，GÉANT分别为4.31%和4.97%。多尺度预测配合低维路由，在较少融合参数下取得较低平均误差；预测输出可供未来一天的网络需求分析与容量规划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骨干网节点对之间的通信需求以源—目的节点对（origin-destination，OD）流量描述，容量规划则需要掌握各节点对未来的需求变化。本文针对小时级OD流量预测未来一天的需求，供高需求时段观察和容量安排参考。流量变化的复杂性与云计算、视频业务和数据中心互联所增加的业务迁移与聚集有关。各OD变量量级不同，周期变化又与局部波动、突发变化叠加，因此较慢趋势和短时变化均需由预测模型刻画。</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原始时间分辨率的序列保留局部细节；时间聚合平滑短时扰动，使较慢趋势更加突出。尺度互补为多分辨率建模提供了依据，Zhou等[5]以深度回声状态网络提取这类信息。分解线性模型（decomposition linear model，DLinear）[6]采用序列分解和线性映射完成轻量预测，TimeMixer[7]通过多尺度混合处理序列，LightTS[8]则使用采样导向的多层感知器（multilayer perceptron，MLP）实现快速预测。基于多分辨率建模与轻量预测，本文在分解线性预测主干上研究尺度间融合。</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在尺度专家结构一致时，本文考察窗口状态驱动的融合比例调整能否降低整体预测误差。同一窗口在不同时间分辨率下保留的信息不同，而固定比例融合虽汇集了各尺度预测，对不同输入状态仍沿用同一融合比例。</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包含专家预测和窗口路由两部分。历史OD窗口完成对数变换与标准化后，生成尺度1、2和4的序列；独立DLinear专家分别映射趋势项与余项，把两部分的24步预测相加，形成候选预测。窗口路由网络使用原始分辨率输入的4项统计特征计算Softmax权重，对3个尺度候选预测的加权求和给出模型输出。</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04342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04342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各尺度采用结构统一的DLinear专家，多尺度输入和样本级融合由此建立在相同预测主干上，模型规模也得到控制。尺度信息的差别来自输入：原始尺度保留局部变化，较粗尺度经时间聚合突出慢趋势。各尺度的独立预测完成后，路由网络按当前样本确定融合比例。</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，其中t为时间索引，C为有效OD变量数。监督学习样本由连续序列沿时间轴生成的滑动窗口构成；第n个样本由历史窗口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覆盖其后连续的H个时间点。多个OD变量过去L步的联合变化构成模型所读取的历史信息，据此估计未来H步的取值。第n个样本的输入与目标表示为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输入与输出长度分别取L=96、H=24，数据中保留的有效OD维度数用C表示。历史信息到未来流量的预测映射写为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，根据L步历史一次给出连续H步预测。原始OD流量非负，数值范围较大的变量与其他变量量级相差较大，直接训练时采用的数值尺度不同。预处理先压缩流量取值范围，对原始流量</w:t>
      </w:r>
      <m:oMath>
        <m:sSub>
          <m:e>
            <m:r>
              <m:t>v</m:t>
            </m:r>
          </m:e>
          <m:sub>
            <m:r>
              <m:t>t</m:t>
            </m:r>
            <m:r>
              <m:rPr>
                <m:sty m:val="p"/>
              </m:rPr>
              <m:t>,</m:t>
            </m:r>
            <m:r>
              <m:t>c</m:t>
            </m:r>
          </m:sub>
        </m:sSub>
      </m:oMath>
      <w:r>
        <w:rPr>
          <w:rFonts w:eastAsia="宋体" w:ascii="Times New Roman" w:hAnsi="Times New Roman" w:cs="Times New Roman"/>
          <w:sz w:val="21"/>
          <w:szCs w:val="21"/>
          <w:color w:val="000000"/>
        </w:rPr>
        <w:t>作对数变换，得到</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为训练集上第c个OD变量的均值与标准差，验证集和测试集沿用这些训练统计量，不再单独估计。log(1+x)变换压缩非负流量的数值范围，同时保留大小关系，因而可缓和量级差异。逐变量标准化随后使各OD维度在训练、损失计算与参数更新中使用相近数值尺度。训练集、验证集和测试集按时间先后以6∶2∶2划分，再在各集合内独立生成滑动窗口；所有窗口均保持在所属集合的边界内。</w:t>
      </w:r>
    </w:p>
    <w:p>
      <w:pPr>
        <w:spacing w:line="240" w:lineRule="auto"/>
        <w:keepNext w:val="0"/>
        <w:keepLines w:val="1"/>
      </w:pPr>
      <w:r>
        <w:rPr>
          <w:rFonts w:eastAsia="宋体" w:ascii="Times New Roman" w:hAnsi="Times New Roman" w:cs="Times New Roman"/>
          <w:sz w:val="21"/>
          <w:szCs w:val="21"/>
          <w:color w:val="000000"/>
        </w:rPr>
        <w:t>各尺度使用同一预处理历史窗口，该窗口的时间分辨率未变。不同尺度序列在预处理之后构造，为各专家分别保留细粒度变化或较平滑的趋势。</w:t>
      </w:r>
    </w:p>
    <w:p>
      <w:pPr>
        <w:spacing w:line="240" w:lineRule="auto"/>
        <w:keepNext w:val="0"/>
        <w:keepLines w:val="1"/>
      </w:pPr>
      <w:r>
        <w:rPr>
          <w:rFonts w:eastAsia="宋体" w:ascii="Times New Roman" w:hAnsi="Times New Roman" w:cs="Times New Roman"/>
          <w:sz w:val="21"/>
          <w:szCs w:val="21"/>
          <w:color w:val="000000"/>
        </w:rPr>
        <w:t>96步历史和24步预测，在第2.1节的1 h聚合数据上分别为过去96 h与未来24 h。这一设置提供未来一天的流量预测，也供小时级需求变化的观察使用。</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对尺度s，时间维的非重叠平均池化同时将聚合窗口大小和步长设为该尺度的取值。尺度集合为S={1,2,4}，各序列按下式构造，其中s取自该集合：</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非重叠平均池化无需训练参数，所构造的多尺度序列不增加模型参数。在L=96的设置下，原始96步序列作为尺度1输入，用于保留短时起伏；相邻2点的均值组成尺度2的48步序列，使局部变化适度平滑。尺度4输入则由相邻4点均值组成24步序列，以突出慢趋势。</w:t>
      </w:r>
    </w:p>
    <w:p>
      <w:pPr>
        <w:widowControl/>
        <w:spacing w:line="240" w:lineRule="auto"/>
        <w:keepNext w:val="0"/>
        <w:keepLines w:val="1"/>
      </w:pPr>
      <w:r>
        <w:rPr>
          <w:rFonts w:eastAsia="宋体" w:ascii="Times New Roman" w:hAnsi="Times New Roman" w:cs="Times New Roman"/>
          <w:sz w:val="21"/>
          <w:szCs w:val="21"/>
          <w:color w:val="000000"/>
          <w:b w:val="0"/>
        </w:rPr>
        <w:t>将96步历史按尺度组合{1,2,4}处理，可获得整数长度序列，同时兼顾细粒度信息、趋势信息和模型规模。相应序列随尺度增加而缩短，专家分支则增多。同一尺度内，每个原始时间点仅参与一次聚合。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每个DLinear专家[6]只处理本尺度输入，尺度1、2和4的序列分别进入对应专家。DLinear先分解输入序列，再对表征较慢变化的趋势项和围绕趋势变化的余项分别作时间映射。尺度s采用长度q=25的中心移动平均，在局部时间邻域内作平滑，提取趋势项。对于不足完整窗口的边界，平滑前复制端点补齐，序列长度由此保持不变；补齐结果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。越界索引按最近端点赋值，故分解前后的时间长度一致：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3个尺度若均使用1/3的权重，固定融合比例便与窗口状态无关。本文根据窗口统计量确定随样本状态调整的权重，并用其融合3个DLinear专家对同一样本分别预测的3组结果。较强的局部波动可能需要更多细粒度信息，平稳变化则可能更适合较粗尺度的趋势信息。为表示当前窗口状态，对原始输入</w:t>
      </w:r>
      <m:oMath>
        <m:sSub>
          <m:e>
            <m:r>
              <m:rPr>
                <m:sty m:val="bi"/>
              </m:rPr>
              <m:t>X</m:t>
            </m:r>
          </m:e>
          <m:sub>
            <m:r>
              <m:t>n</m:t>
            </m:r>
          </m:sub>
        </m:sSub>
      </m:oMath>
      <w:r>
        <w:rPr>
          <w:rFonts w:eastAsia="宋体" w:ascii="Times New Roman" w:hAnsi="Times New Roman" w:cs="Times New Roman"/>
          <w:sz w:val="21"/>
          <w:szCs w:val="21"/>
          <w:color w:val="000000"/>
        </w:rPr>
        <w:t>构造四维统计向量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，其中各统计量按下式定义</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路由器负责计算尺度融合分数，尺度专家仍承担完整OD流量预测。路由器的两层感知器接收四维统计向量，通过16维隐藏层输出3个尺度的未归一化分数。低维统计量与较小隐藏层限制了路由参数规模，计算中不增加循环网络、注意力网络等额外时序编码器。修正线性单元（rectified linear unit，ReLU）用于隐藏层激活，尺度分数计算如下</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式（13）将3个DLinear专家的输出按上述权重加权求和，得到最终预测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。输入窗口决定这一组权重，同一窗口内的全部OD变量共用该组取值。</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参数通过自适应矩估计（adaptive moment estimation，Adam）优化器更新，最终模型的选择依据为验证集MSE。</w:t>
      </w:r>
    </w:p>
    <w:p>
      <w:pPr>
        <w:widowControl/>
        <w:spacing w:line="240" w:lineRule="auto"/>
        <w:keepNext w:val="0"/>
        <w:keepLines w:val="1"/>
      </w:pPr>
      <w:r>
        <w:rPr>
          <w:rFonts w:eastAsia="宋体" w:ascii="Times New Roman" w:hAnsi="Times New Roman" w:cs="Times New Roman"/>
          <w:sz w:val="21"/>
          <w:szCs w:val="21"/>
          <w:color w:val="000000"/>
        </w:rPr>
        <w:t>推理时按训练阶段确定的规则处理历史OD窗口，再由多尺度专家预测和路由融合生成未来多步流量，供后续网络需求分析使用。</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本实验选用CESNET TS-Zoo[9]中的1 h聚合流量矩阵Abilene[10]和GÉANT[11]。两套数据统一采用L=96、H=24，规模及窗口数见表1。Abilene的144维有效OD变量覆盖4656个时间点；GÉANT在2849个时间点上剔除恒定通道，留下524维。训练、验证、测试集的时间划分比例为6∶2∶2，数据预处理按第1.1节执行。</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各模型在相同的数据划分、输入与预测长度及评价指标下训练，批量大小取16，使用Adam优化器，最优超参数未按模型分别搜索。训练共同优化尺度专家与可训练融合参数，以验证集MSE选择最终参数，再在测试集上作最终统计。DLinear及各多尺度模型以0.001的学习率最多训练30轮；验证集MSE连续6轮未改善时提前停止。LightTS使用0.0001的学习率，训练上限为50轮，早停耐心值为10轮。</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公开实现来自THUML，LightTS的分块长度取24、模型维度参数取512。DLinear及各尺度专家使用25的移动平均窗口，路由隐藏层维度设为16。Python 3.11.9和PyTorch 2.5.1为本实验的软件版本。</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预测误差用标准化空间内的指标评价，取值越低表示误差越小。MSE对较大误差更敏感，MAE给出平均绝对偏差，误差幅值另以RMSE补充。表2汇总种子42～44，表3汇总种子42～49，均按均值±标准差列出，标准差表示种子间波动。相对改进率按共同种子逐一配对计算后求平均，表中四舍五入后的均值不参与计算。95%置信区间由配对种子改进率的均值、标准误及自由度为7的t分布计算。</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3个共同随机种子的总体基线结果列于表2，本文方法在Abilene和GÉANT上的MSE分别为0.186和0.434。按种子逐一计算，相对DLinear分别降低4.07%和4.54%，相对LightTS分别降低29.80%和46.89%；MAE也呈相同方向变化。本文方法与LightTS的逐种子、多指标结果及参数规模在图2中进一步比较。</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随机种子间的分布见图3，两类基线下各指标的平均改进率均为正。相对DLinear，Abilene的MSE、MAE、RMSE平均改进率依次为2.77%、8.01%、1.40%，其中MSE和RMSE在8次实验中均改善。GÉANT三项平均改进率为2.35%、1.32%、1.22%，跨越0%的结果较多。相对固定等权模型，按同一指标顺序，Abilene的平均改进率为1.65%、8.92%、0.84%，GÉANT为4.54%、3.05%、2.37%。</w:t>
      </w:r>
    </w:p>
    <w:p>
      <w:pPr>
        <w:widowControl/>
        <w:spacing w:line="240" w:lineRule="auto"/>
        <w:keepNext w:val="0"/>
        <w:keepLines w:val="1"/>
      </w:pPr>
      <w:r>
        <w:rPr>
          <w:rFonts w:eastAsia="宋体" w:ascii="Times New Roman" w:hAnsi="Times New Roman" w:cs="Times New Roman"/>
          <w:sz w:val="21"/>
          <w:szCs w:val="21"/>
          <w:color w:val="000000"/>
        </w:rPr>
        <w:t>本文方法在表3八次重复实验中的平均MSE较两类常权重对照低，不过GÉANT种子43相对恒定输入路由仍退步12.78%。图4以全测试点的预测偏差和按真实序列波动选取的典型轨迹补充平均误差比较，观察模型的预测行为。</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四种模型在图4的高真实值区间均有分组预测低于真实值的现象，本文方法的平均偏差较小。四例典型轨迹中，本文方法在三例上的24步均方误差低于DLinear、固定等权和恒定输入路由模型；在Abilene典型波动窗口这一例中，本文方法的结果较差。这些分组与轨迹用于观察预测行为，表3给出整体误差比较。</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Abilene三个尺度的汇总平均权重依次为0.257、0.319和0.424，GÉANT对应为0.283、0.318和0.399，均偏离固定等权的1/3。将汇总权重方差按来源区分，GÉANT三个尺度中约96.2%、95.8%和97.7%来自种子间差异；Abilene对应比例为48.7%、86.1%和80.6%。在GÉANT同一种子内部，权重随窗口的变化较小。图5所呈现的是不同尺度的总体权重偏好，以及这些偏好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测试窗口按训练窗口的三分位数阈值分组，分组所用波动强度为平均绝对一阶差分。以全局权重模型作对照，Abilene低、中、高波动组的逐种子平均MSE改进率依次是4.43%、1.90%、1.69%，样本数相应为15、406、392个窗口。依训练阈值，GÉANT没有低波动测试窗口；中、高波动组分别含76、375个窗口，对应改进率为5.85%、4.06%。Abilene高波动组的尺度1平均权重高于中波动组，误差优势未随权重增加而增强。GÉANT中、高波动组的权重近似相同，误差改善幅度仍有差异，说明误差与权重的变化并不一致。</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前向计算开销按检查点分别测量，使用种子42～49共8个检查点，预测长度取24。评估模式下关闭梯度计算，测试张量预先加载，批量大小为16。每个检查点先预热20批，再对完整测试集计时10次。每次总耗时除以批次数后，先求10次测量的平均值，再对8个检查点求平均。在Abilene、GÉANT上，本文方法平均每批前向耗时依次为2.65 ms、2.61 ms；固定等权模型依次为2.38 ms、2.10 ms；单尺度DLinear依次为0.77 ms、0.70 ms。数据读取和传输未纳入测量，所报耗时仅指模型前向计算。</w:t>
      </w:r>
    </w:p>
    <w:p>
      <w:pPr>
        <w:keepNext w:val="0"/>
        <w:keepLines w:val="1"/>
        <w:spacing w:line="240" w:lineRule="auto"/>
      </w:pPr>
      <w:r>
        <w:rPr>
          <w:rFonts w:eastAsia="宋体" w:ascii="Times New Roman" w:hAnsi="Times New Roman" w:cs="Times New Roman"/>
          <w:sz w:val="21"/>
          <w:szCs w:val="21"/>
          <w:color w:val="000000"/>
          <w:b w:val="0"/>
        </w:rPr>
        <w:t xml:space="preserve">在小时级网络管理中，一次预测覆盖全部有效OD变量，给出各OD未来24 h的逐小时需求。运维模块在观测序列更新后，将各OD最近96 h流量按训练阶段的预处理规则构造成历史窗口，作为预测输入。后续需求分析可将结果按时间和节点对组织。</w:t>
      </w:r>
    </w:p>
    <w:p>
      <w:pPr>
        <w:keepNext w:val="0"/>
        <w:keepLines w:val="1"/>
        <w:spacing w:line="240" w:lineRule="auto"/>
      </w:pPr>
      <w:r>
        <w:rPr>
          <w:rFonts w:eastAsia="宋体" w:ascii="Times New Roman" w:hAnsi="Times New Roman" w:cs="Times New Roman"/>
          <w:sz w:val="21"/>
          <w:szCs w:val="21"/>
          <w:color w:val="000000"/>
          <w:b w:val="0"/>
        </w:rPr>
        <w:t xml:space="preserve">预测结果用于实际需求分析前，应从标准化空间恢复到原始流量量纲：先利用训练阶段保存的逐OD统计量作逆标准化，再作逆对数变换。依据网络拓扑和路由关系，可将各OD预测需求汇总到对应链路；将链路需求与容量比较，可为容量安排提供参考。</w:t>
      </w:r>
    </w:p>
    <w:p>
      <w:pPr>
        <w:keepNext w:val="0"/>
        <w:keepLines w:val="0"/>
        <w:spacing w:line="240" w:lineRule="auto"/>
        <w:widowControl w:val="1"/>
      </w:pPr>
      <w:r>
        <w:rPr>
          <w:rFonts w:eastAsia="宋体" w:ascii="Times New Roman" w:hAnsi="Times New Roman" w:cs="Times New Roman"/>
          <w:sz w:val="21"/>
          <w:szCs w:val="21"/>
          <w:color w:val="000000"/>
          <w:b w:val="0"/>
        </w:rPr>
        <w:t xml:space="preserve">训练集各OD的第90百分位用作高需求阈值，超过对应阈值的真实值所在测试预测点才参与评价。种子42～49的24步预测在标准化空间内统计MAE及平均低估幅度。对后者，真实值减预测值仅取正值部分，再在全部高需求预测点上平均。高需求预测点在Abilene占13.61%，在GÉANT占13.00%。</w:t>
      </w:r>
    </w:p>
    <w:p>
      <w:pPr>
        <w:keepNext w:val="0"/>
        <w:keepLines w:val="0"/>
        <w:spacing w:line="240" w:lineRule="auto"/>
        <w:widowControl w:val="1"/>
      </w:pPr>
      <w:r>
        <w:rPr>
          <w:rFonts w:eastAsia="宋体" w:ascii="Times New Roman" w:hAnsi="Times New Roman" w:cs="Times New Roman"/>
          <w:sz w:val="21"/>
          <w:szCs w:val="21"/>
          <w:color w:val="000000"/>
          <w:b w:val="0"/>
        </w:rPr>
        <w:t xml:space="preserve">按8个种子的均值±标准差汇总，本文方法在Abilene上的高需求MAE和平均低估幅度分别为0.147±0.013、0.137±0.017，相对全局可学习权重的逐种子平均降幅为17.22%、20.49%，8个种子均改善。GÉANT两项指标为0.632±0.060、0.577±0.080，平均降幅为3.59%、6.30%，均有6/8个种子改善。</w:t>
      </w:r>
    </w:p>
    <w:p>
      <w:pPr>
        <w:keepNext w:val="0"/>
        <w:keepLines w:val="0"/>
        <w:spacing w:line="240" w:lineRule="auto"/>
        <w:widowControl w:val="1"/>
      </w:pPr>
      <w:r>
        <w:rPr>
          <w:rFonts w:eastAsia="宋体" w:ascii="Times New Roman" w:hAnsi="Times New Roman" w:cs="Times New Roman"/>
          <w:sz w:val="21"/>
          <w:szCs w:val="21"/>
          <w:color w:val="000000"/>
          <w:b w:val="0"/>
        </w:rPr>
        <w:t xml:space="preserve">高需求评价所得平均绝对误差及低估幅度较低，与图4校准分析相对应。本文方法在Abilene上的改善较稳定，GÉANT两项配对改进率的95%置信区间均跨零；这些结果可供需求上升时段观察和容量复核参考。</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本文结合独立分解线性专家与低维窗口路由，采用自适应多尺度加权协调各尺度输出，以较小参数规模完成小时级骨干网流量预测。重复实验在两套数据上得到的平均误差均低于所设单尺度与固定融合对照，预测输出可作为未来一天需求分析的参考。后续需在更多网络数据和预测长度下检验模型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