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ascii="KaiTi" w:hAnsi="KaiTi" w:cs="KaiTi"/>
          <w:color w:val="000000"/>
          <w:szCs w:val="21"/>
          <w:sz w:val="21"/>
        </w:rPr>
        <w:t>[</w:t>
      </w:r>
      <w:r w:rsidRPr="00B14FA3">
        <w:rPr>
          <w:rFonts w:eastAsia="楷体" w:ascii="KaiTi" w:hAnsi="KaiTi" w:cs="KaiTi"/>
          <w:color w:val="000000"/>
          <w:szCs w:val="21"/>
          <w:sz w:val="21"/>
        </w:rPr>
        <w:t>请填写作者姓名</w:t>
      </w:r>
      <w:r w:rsidRPr="00B14FA3">
        <w:rPr>
          <w:rFonts w:eastAsia="楷体" w:ascii="KaiTi" w:hAnsi="KaiTi" w:cs="KaiTi"/>
          <w:color w:val="000000"/>
          <w:szCs w:val="21"/>
          <w:sz w:val="21"/>
        </w:rPr>
        <w:t>]</w:t>
      </w:r>
    </w:p>
    <w:p w14:paraId="7497E793" w14:textId="77777777" w:rsidR="00B14FA3" w:rsidRPr="00B14FA3" w:rsidRDefault="00B14FA3" w:rsidP="00B14FA3">
      <w:pPr>
        <w:ind w:firstLine="0"/>
        <w:jc w:val="center"/>
      </w:pPr>
      <w:r w:rsidRPr="00B14FA3">
        <w:rPr>
          <w:rFonts w:eastAsia="楷体"/>
          <w:color w:val="000000"/>
          <w:sz w:val="18"/>
          <w:szCs w:val="18"/>
        </w:rPr>
        <w:t>（[请填写工作单位] [请填写部门]，[省 市 邮编]）</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p>
    <w:p w14:paraId="029BEDBD" w14:textId="77777777" w:rsidR="00B14FA3" w:rsidRPr="00B14FA3" w:rsidRDefault="00B14FA3" w:rsidP="00B14FA3">
      <w:r w:rsidRPr="00B14FA3">
        <w:rPr>
          <w:b/>
          <w:bCs/>
          <w:color w:val="000000"/>
        </w:rPr>
        <w:t>摘要：</w:t>
      </w:r>
      <w:r w:rsidRPr="00B14FA3">
        <w:rPr>
          <w:color w:val="000000"/>
        </w:rPr>
        <w: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[Department],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rFonts w:eastAsia="宋体"/>
          <w:color w:val="000000"/>
          <w:sz w:val="21"/>
          <w:szCs w:val="21"/>
        </w:rPr>
        <w:t>随着网络业务规模和业务类型持续增长，骨干网络流量呈现出明显的时变性、突发性和多时间尺度变化特征。源</w:t>
      </w:r>
      <w:r w:rsidRPr="00B14FA3">
        <w:rPr>
          <w:rFonts w:eastAsia="宋体"/>
          <w:color w:val="000000"/>
          <w:sz w:val="21"/>
          <w:szCs w:val="21"/>
        </w:rPr>
        <w:t>—</w:t>
      </w:r>
      <w:r w:rsidRPr="00B14FA3">
        <w:rPr>
          <w:rFonts w:eastAsia="宋体"/>
          <w:color w:val="000000"/>
          <w:sz w:val="21"/>
          <w:szCs w:val="21"/>
        </w:rPr>
        <w:t>目的节点对（</w:t>
      </w:r>
      <w:r w:rsidRPr="00B14FA3">
        <w:rPr>
          <w:rFonts w:eastAsia="宋体"/>
          <w:color w:val="000000"/>
          <w:sz w:val="21"/>
          <w:szCs w:val="21"/>
        </w:rPr>
        <w:t>origin-destination</w:t>
      </w:r>
      <w:r w:rsidRPr="00B14FA3">
        <w:rPr>
          <w:rFonts w:eastAsia="宋体"/>
          <w:color w:val="000000"/>
          <w:sz w:val="21"/>
          <w:szCs w:val="21"/>
        </w:rPr>
        <w:t>，</w:t>
      </w:r>
      <w:r w:rsidRPr="00B14FA3">
        <w:rPr>
          <w:rFonts w:eastAsia="宋体"/>
          <w:color w:val="000000"/>
          <w:sz w:val="21"/>
          <w:szCs w:val="21"/>
        </w:rPr>
        <w:t>OD</w:t>
      </w:r>
      <w:r w:rsidRPr="00B14FA3">
        <w:rPr>
          <w:rFonts w:eastAsia="宋体"/>
          <w:color w:val="000000"/>
          <w:sz w:val="21"/>
          <w:szCs w:val="21"/>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rFonts w:eastAsia="宋体"/>
          <w:color w:val="000000"/>
          <w:sz w:val="21"/>
          <w:szCs w:val="21"/>
        </w:rPr>
        <w:t>[1]</w:t>
      </w:r>
      <w:r w:rsidRPr="00B14FA3">
        <w:rPr>
          <w:rFonts w:eastAsia="宋体"/>
          <w:color w:val="000000"/>
          <w:sz w:val="21"/>
          <w:szCs w:val="21"/>
        </w:rPr>
        <w:t>。针对网络流量中的时空相关性，</w:t>
      </w:r>
      <w:r w:rsidRPr="00B14FA3">
        <w:rPr>
          <w:rFonts w:eastAsia="宋体"/>
          <w:color w:val="000000"/>
          <w:sz w:val="21"/>
          <w:szCs w:val="21"/>
        </w:rPr>
        <w:t>Qin</w:t>
      </w:r>
      <w:r w:rsidRPr="00B14FA3">
        <w:rPr>
          <w:rFonts w:eastAsia="宋体"/>
          <w:color w:val="000000"/>
          <w:sz w:val="21"/>
          <w:szCs w:val="21"/>
        </w:rPr>
        <w:t>等</w:t>
      </w:r>
      <w:r w:rsidRPr="00B14FA3">
        <w:rPr>
          <w:rFonts w:eastAsia="宋体"/>
          <w:color w:val="000000"/>
          <w:sz w:val="21"/>
          <w:szCs w:val="21"/>
        </w:rPr>
        <w:t>[2]</w:t>
      </w:r>
      <w:r w:rsidRPr="00B14FA3">
        <w:rPr>
          <w:rFonts w:eastAsia="宋体"/>
          <w:color w:val="000000"/>
          <w:sz w:val="21"/>
          <w:szCs w:val="21"/>
        </w:rPr>
        <w:t>采用图神经网络建模通信网络中的空间依赖关系；韦烜等</w:t>
      </w:r>
      <w:r w:rsidRPr="00B14FA3">
        <w:rPr>
          <w:rFonts w:eastAsia="宋体"/>
          <w:color w:val="000000"/>
          <w:sz w:val="21"/>
          <w:szCs w:val="21"/>
        </w:rPr>
        <w:t>[9]</w:t>
      </w:r>
      <w:r w:rsidRPr="00B14FA3">
        <w:rPr>
          <w:rFonts w:eastAsia="宋体"/>
          <w:color w:val="000000"/>
          <w:sz w:val="21"/>
          <w:szCs w:val="21"/>
        </w:rPr>
        <w:t>对大型</w:t>
      </w:r>
      <w:r w:rsidRPr="00B14FA3">
        <w:rPr>
          <w:rFonts w:eastAsia="宋体"/>
          <w:color w:val="000000"/>
          <w:sz w:val="21"/>
          <w:szCs w:val="21"/>
        </w:rPr>
        <w:t>互联网协议（Internet Protocol，IP）</w:t>
      </w:r>
      <w:r w:rsidRPr="00B14FA3">
        <w:rPr>
          <w:rFonts w:eastAsia="宋体"/>
          <w:color w:val="000000"/>
          <w:sz w:val="21"/>
          <w:szCs w:val="21"/>
        </w:rPr>
        <w:t>网络流量矩阵的分析与预测进行了研究，表明</w:t>
      </w:r>
      <w:r w:rsidRPr="00B14FA3">
        <w:rPr>
          <w:rFonts w:eastAsia="宋体"/>
          <w:color w:val="000000"/>
          <w:sz w:val="21"/>
          <w:szCs w:val="21"/>
        </w:rPr>
        <w:t>OD</w:t>
      </w:r>
      <w:r w:rsidRPr="00B14FA3">
        <w:rPr>
          <w:rFonts w:eastAsia="宋体"/>
          <w:color w:val="000000"/>
          <w:sz w:val="21"/>
          <w:szCs w:val="21"/>
        </w:rPr>
        <w:t>流量预测在实际网络运行管理中具有应用价值。然而，图结构建模通常依赖网络拓扑或较复杂的特征交互，</w:t>
      </w:r>
      <w:r w:rsidRPr="00B14FA3">
        <w:rPr>
          <w:rFonts w:eastAsia="宋体"/>
          <w:color w:val="000000"/>
          <w:sz w:val="21"/>
          <w:szCs w:val="21"/>
        </w:rPr>
        <w:lastRenderedPageBreak/>
        <w:t>对于只利用历史</w:t>
      </w:r>
      <w:r w:rsidRPr="00B14FA3">
        <w:rPr>
          <w:rFonts w:eastAsia="宋体"/>
          <w:color w:val="000000"/>
          <w:sz w:val="21"/>
          <w:szCs w:val="21"/>
        </w:rPr>
        <w:t>OD</w:t>
      </w:r>
      <w:r w:rsidRPr="00B14FA3">
        <w:rPr>
          <w:rFonts w:eastAsia="宋体"/>
          <w:color w:val="000000"/>
          <w:sz w:val="21"/>
          <w:szCs w:val="21"/>
        </w:rPr>
        <w:t>流量序列进行轻量预测的场景，仍存在进一步简化模型结构的空间。</w:t>
      </w:r>
    </w:p>
    <w:p w14:paraId="63AA998F" w14:textId="77777777" w:rsidR="00B14FA3" w:rsidRPr="00B14FA3" w:rsidRDefault="00B14FA3" w:rsidP="00B14FA3">
      <w:pPr>
        <w:rPr>
          <w:color w:val="000000"/>
        </w:rPr>
      </w:pPr>
      <w:r w:rsidRPr="00B14FA3">
        <w:rPr>
          <w:rFonts w:eastAsia="宋体"/>
          <w:color w:val="000000"/>
          <w:sz w:val="21"/>
          <w:szCs w:val="21"/>
        </w:rPr>
        <w:t>网络流量在不同时间尺度上具有不同的变化特征。较细时间尺度能够保留局部波动和突发信息，较粗时间尺度则有利于平滑短期扰动并突出整体趋势。</w:t>
      </w:r>
      <w:r w:rsidRPr="00B14FA3">
        <w:rPr>
          <w:rFonts w:eastAsia="宋体"/>
          <w:color w:val="000000"/>
          <w:sz w:val="21"/>
          <w:szCs w:val="21"/>
        </w:rPr>
        <w:t>Zhou</w:t>
      </w:r>
      <w:r w:rsidRPr="00B14FA3">
        <w:rPr>
          <w:rFonts w:eastAsia="宋体"/>
          <w:color w:val="000000"/>
          <w:sz w:val="21"/>
          <w:szCs w:val="21"/>
        </w:rPr>
        <w:t>等</w:t>
      </w:r>
      <w:r w:rsidRPr="00B14FA3">
        <w:rPr>
          <w:rFonts w:eastAsia="宋体"/>
          <w:color w:val="000000"/>
          <w:sz w:val="21"/>
          <w:szCs w:val="21"/>
        </w:rPr>
        <w:t>[3]</w:t>
      </w:r>
      <w:r w:rsidRPr="00B14FA3">
        <w:rPr>
          <w:rFonts w:eastAsia="宋体"/>
          <w:color w:val="000000"/>
          <w:sz w:val="21"/>
          <w:szCs w:val="21"/>
        </w:rPr>
        <w:t>利用多尺度回声状态网络提取不同时间尺度的流量特征；</w:t>
      </w:r>
      <w:r w:rsidRPr="00B14FA3">
        <w:rPr>
          <w:rFonts w:eastAsia="宋体"/>
          <w:color w:val="000000"/>
          <w:sz w:val="21"/>
          <w:szCs w:val="21"/>
        </w:rPr>
        <w:t>TimeMixer</w:t>
      </w:r>
      <w:r w:rsidRPr="00B14FA3">
        <w:rPr>
          <w:rFonts w:eastAsia="宋体"/>
          <w:color w:val="000000"/>
          <w:sz w:val="21"/>
          <w:szCs w:val="21"/>
        </w:rPr>
        <w:t>通过多尺度分解与混合机制实现不同分辨率信息的交互</w:t>
      </w:r>
      <w:r w:rsidRPr="00B14FA3">
        <w:rPr>
          <w:rFonts w:eastAsia="宋体"/>
          <w:color w:val="000000"/>
          <w:sz w:val="21"/>
          <w:szCs w:val="21"/>
        </w:rPr>
        <w:t>[7]</w:t>
      </w:r>
      <w:r w:rsidRPr="00B14FA3">
        <w:rPr>
          <w:rFonts w:eastAsia="宋体"/>
          <w:color w:val="000000"/>
          <w:sz w:val="21"/>
          <w:szCs w:val="21"/>
        </w:rPr>
        <w:t>；</w:t>
      </w:r>
      <w:r w:rsidRPr="00B14FA3">
        <w:rPr>
          <w:rFonts w:eastAsia="宋体"/>
          <w:color w:val="000000"/>
          <w:sz w:val="21"/>
          <w:szCs w:val="21"/>
        </w:rPr>
        <w:t>CycleLLH</w:t>
      </w:r>
      <w:r w:rsidRPr="00B14FA3">
        <w:rPr>
          <w:rFonts w:eastAsia="宋体"/>
          <w:color w:val="000000"/>
          <w:sz w:val="21"/>
          <w:szCs w:val="21"/>
        </w:rPr>
        <w:t>则从周期性整合角度提高网络流量预测能力</w:t>
      </w:r>
      <w:r w:rsidRPr="00B14FA3">
        <w:rPr>
          <w:rFonts w:eastAsia="宋体"/>
          <w:color w:val="000000"/>
          <w:sz w:val="21"/>
          <w:szCs w:val="21"/>
        </w:rPr>
        <w:t>[10]</w:t>
      </w:r>
      <w:r w:rsidRPr="00B14FA3">
        <w:rPr>
          <w:rFonts w:eastAsia="宋体"/>
          <w:color w:val="000000"/>
          <w:sz w:val="21"/>
          <w:szCs w:val="21"/>
        </w:rPr>
        <w:t>。除时域多尺度建模外，频域方法也被广泛用于时间序列预测。</w:t>
      </w:r>
      <w:r w:rsidRPr="00B14FA3">
        <w:rPr>
          <w:rFonts w:eastAsia="宋体"/>
          <w:color w:val="000000"/>
          <w:sz w:val="21"/>
          <w:szCs w:val="21"/>
        </w:rPr>
        <w:t>频率增强分解Transformer（Frequency Enhanced Decomposed Transformer，FEDformer）</w:t>
      </w:r>
      <w:r w:rsidRPr="00B14FA3">
        <w:rPr>
          <w:rFonts w:eastAsia="宋体"/>
          <w:color w:val="000000"/>
          <w:sz w:val="21"/>
          <w:szCs w:val="21"/>
        </w:rPr>
        <w:t>利用频域增强机制提取主要周期成分</w:t>
      </w:r>
      <w:r w:rsidRPr="00B14FA3">
        <w:rPr>
          <w:rFonts w:eastAsia="宋体"/>
          <w:color w:val="000000"/>
          <w:sz w:val="21"/>
          <w:szCs w:val="21"/>
        </w:rPr>
        <w:t>[5]</w:t>
      </w:r>
      <w:r w:rsidRPr="00B14FA3">
        <w:rPr>
          <w:rFonts w:eastAsia="宋体"/>
          <w:color w:val="000000"/>
          <w:sz w:val="21"/>
          <w:szCs w:val="21"/>
        </w:rPr>
        <w:t>，</w:t>
      </w:r>
      <w:r w:rsidRPr="00B14FA3">
        <w:rPr>
          <w:rFonts w:eastAsia="宋体"/>
          <w:color w:val="000000"/>
          <w:sz w:val="21"/>
          <w:szCs w:val="21"/>
        </w:rPr>
        <w:t>频率插值时间序列分析（Frequency Interpolation Time Series Analysis，FITS）</w:t>
      </w:r>
      <w:r w:rsidRPr="00B14FA3">
        <w:rPr>
          <w:rFonts w:eastAsia="宋体"/>
          <w:color w:val="000000"/>
          <w:sz w:val="21"/>
          <w:szCs w:val="21"/>
        </w:rPr>
        <w:t>通过频率插值实现轻量时间序列预测</w:t>
      </w:r>
      <w:r w:rsidRPr="00B14FA3">
        <w:rPr>
          <w:rFonts w:eastAsia="宋体"/>
          <w:color w:val="000000"/>
          <w:sz w:val="21"/>
          <w:szCs w:val="21"/>
        </w:rPr>
        <w:t>[6]</w:t>
      </w:r>
      <w:r w:rsidRPr="00B14FA3">
        <w:rPr>
          <w:rFonts w:eastAsia="宋体"/>
          <w:color w:val="000000"/>
          <w:sz w:val="21"/>
          <w:szCs w:val="21"/>
        </w:rPr>
        <w:t>；</w:t>
      </w:r>
      <w:r w:rsidRPr="00B14FA3">
        <w:rPr>
          <w:rFonts w:eastAsia="宋体"/>
          <w:color w:val="000000"/>
          <w:sz w:val="21"/>
          <w:szCs w:val="21"/>
        </w:rPr>
        <w:t>Tang</w:t>
      </w:r>
      <w:r w:rsidRPr="00B14FA3">
        <w:rPr>
          <w:rFonts w:eastAsia="宋体"/>
          <w:color w:val="000000"/>
          <w:sz w:val="21"/>
          <w:szCs w:val="21"/>
        </w:rPr>
        <w:t>等</w:t>
      </w:r>
      <w:r w:rsidRPr="00B14FA3">
        <w:rPr>
          <w:rFonts w:eastAsia="宋体"/>
          <w:color w:val="000000"/>
          <w:sz w:val="21"/>
          <w:szCs w:val="21"/>
        </w:rPr>
        <w:t>[8]</w:t>
      </w:r>
      <w:r w:rsidRPr="00B14FA3">
        <w:rPr>
          <w:rFonts w:eastAsia="宋体"/>
          <w:color w:val="000000"/>
          <w:sz w:val="21"/>
          <w:szCs w:val="21"/>
        </w:rPr>
        <w:t>进一步将频域多层感知机与多尺度注意力结合，用于蜂窝网络流量预测。另一方面，</w:t>
      </w:r>
      <w:r w:rsidRPr="00B14FA3">
        <w:rPr>
          <w:rFonts w:eastAsia="宋体"/>
          <w:color w:val="000000"/>
          <w:sz w:val="21"/>
          <w:szCs w:val="21"/>
        </w:rPr>
        <w:t>分解线性（Decomposition Linear，DLinear）模型</w:t>
      </w:r>
      <w:r w:rsidRPr="00B14FA3">
        <w:rPr>
          <w:rFonts w:eastAsia="宋体"/>
          <w:color w:val="000000"/>
          <w:sz w:val="21"/>
          <w:szCs w:val="21"/>
        </w:rPr>
        <w:t>通过趋势项与余项分解配合线性映射实现多步预测，结构简单且参数量较少</w:t>
      </w:r>
      <w:r w:rsidRPr="00B14FA3">
        <w:rPr>
          <w:rFonts w:eastAsia="宋体"/>
          <w:color w:val="000000"/>
          <w:sz w:val="21"/>
          <w:szCs w:val="21"/>
        </w:rPr>
        <w:t>[4]</w:t>
      </w:r>
      <w:r w:rsidRPr="00B14FA3">
        <w:rPr>
          <w:rFonts w:eastAsia="宋体"/>
          <w:color w:val="000000"/>
          <w:sz w:val="21"/>
          <w:szCs w:val="21"/>
        </w:rPr>
        <w:t>，为构建轻量预测模型提供了基础。</w:t>
      </w:r>
    </w:p>
    <w:p w14:paraId="22D1E28C" w14:textId="77777777" w:rsidR="00B14FA3" w:rsidRPr="00B14FA3" w:rsidRDefault="00B14FA3" w:rsidP="00B14FA3">
      <w:pPr>
        <w:rPr>
          <w:color w:val="000000"/>
        </w:rPr>
      </w:pPr>
      <w:r w:rsidRPr="00B14FA3">
        <w:rPr>
          <w:rFonts w:eastAsia="宋体"/>
          <w:color w:val="000000"/>
          <w:sz w:val="21"/>
          <w:szCs w:val="21"/>
        </w:rPr>
        <w:t>上述研究表明，多尺度信息和频率特征均有助于描述时间序列的复杂变化，但现有多尺度方法多采用固定尺度组合或较复杂的混合、注意力结构，对不同流量状态下尺度重要性的动态调节仍较有限；同时，过强的低频截断可能造成突发变化等有效信息损失。针对这些问题，本研究构建基于分解线性尺度专家的样本级自适应多尺度预测框架，以不同时间分辨率专家形成互补预测，并由轻量路由器依据输入窗口状态动态分配尺度权重；频域门控仅作为辅助模块，用于分析频率保留边界。该框架不依赖显式网络拓扑和复杂注意力结构，重点验证动态尺度融合对骨干网络OD流量短期预测的作用。</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rFonts w:eastAsia="宋体"/>
          <w:color w:val="000000"/>
          <w:sz w:val="21"/>
          <w:szCs w:val="21"/>
        </w:rPr>
        <w:t>本文方法由预处理、多尺度构造、尺度专家、统计路由和预测融合五部分组成。无频域自适应多尺度结构作为主模型；可学习低频门控作为辅助模块，仅用于分析频率保留比例。整体流程如图</w:t>
      </w:r>
      <w:r w:rsidRPr="00B14FA3">
        <w:rPr>
          <w:rFonts w:eastAsia="宋体"/>
          <w:color w:val="000000"/>
          <w:sz w:val="21"/>
          <w:szCs w:val="21"/>
        </w:rPr>
        <w:t>1</w:t>
      </w:r>
      <w:r w:rsidRPr="00B14FA3">
        <w:rPr>
          <w:rFonts w:eastAsia="宋体"/>
          <w:color w:val="000000"/>
          <w:sz w:val="21"/>
          <w:szCs w:val="21"/>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sz w:val="21"/>
        </w:rPr>
        <w:t xml:space="preserve">1.1 </w:t>
      </w:r>
      <w:r w:rsidRPr="00B14FA3">
        <w:rPr>
          <w:rFonts w:eastAsia="黑体"/>
          <w:b/>
          <w:bCs/>
          <w:szCs w:val="21"/>
          <w:sz w:val="21"/>
        </w:rPr>
        <w:t>问题定义与数据预处理</w:t>
      </w:r>
    </w:p>
    <w:p w14:paraId="499475F7" w14:textId="77777777" w:rsidR="00B14FA3" w:rsidRPr="00B14FA3" w:rsidRDefault="00B14FA3" w:rsidP="00B14FA3">
      <w:pPr>
        <w:spacing w:line="360" w:lineRule="auto"/>
      </w:pPr>
      <w:r w:rsidRPr="00B14FA3">
        <w:rPr>
          <w:rFonts w:eastAsia="宋体"/>
          <w:sz w:val="21"/>
          <w:szCs w:val="21"/>
        </w:rPr>
        <w:t>设预处理后的多变量流量序列为</w:t>
      </w:r>
      <w:r w:rsidRPr="00B14FA3">
        <w:rPr>
          <w:rFonts w:eastAsia="宋体"/>
          <w:sz w:val="21"/>
          <w:szCs w:val="21"/>
        </w:rPr>
        <w:t xml:space="preserve"> x_t</w:t>
      </w:r>
      <w:r w:rsidRPr="00B14FA3">
        <w:rPr>
          <w:rFonts w:ascii="Cambria Math" w:hAnsi="Cambria Math" w:cs="Cambria Math"/>
        </w:rPr>
        <w:t>∈</w:t>
      </w:r>
      <w:r w:rsidRPr="00B14FA3">
        <w:rPr>
          <w:rFonts w:eastAsia="宋体"/>
          <w:sz w:val="21"/>
          <w:szCs w:val="21"/>
        </w:rPr>
        <w:t>R^C</w:t>
      </w:r>
      <w:r w:rsidRPr="00B14FA3">
        <w:rPr>
          <w:rFonts w:eastAsia="宋体"/>
          <w:sz w:val="21"/>
          <w:szCs w:val="21"/>
        </w:rPr>
        <w:t>，其中</w:t>
      </w:r>
      <w:r w:rsidRPr="00B14FA3">
        <w:rPr>
          <w:rFonts w:eastAsia="宋体"/>
          <w:sz w:val="21"/>
          <w:szCs w:val="21"/>
        </w:rPr>
        <w:t>t</w:t>
      </w:r>
      <w:r w:rsidRPr="00B14FA3">
        <w:rPr>
          <w:rFonts w:eastAsia="宋体"/>
          <w:sz w:val="21"/>
          <w:szCs w:val="21"/>
        </w:rPr>
        <w:t>为时间索引，</w:t>
      </w:r>
      <w:r w:rsidRPr="00B14FA3">
        <w:rPr>
          <w:rFonts w:eastAsia="宋体"/>
          <w:sz w:val="21"/>
          <w:szCs w:val="21"/>
        </w:rPr>
        <w:t>C</w:t>
      </w:r>
      <w:r w:rsidRPr="00B14FA3">
        <w:rPr>
          <w:rFonts w:eastAsia="宋体"/>
          <w:sz w:val="21"/>
          <w:szCs w:val="21"/>
        </w:rPr>
        <w:t>为</w:t>
      </w:r>
      <w:r w:rsidRPr="00B14FA3">
        <w:rPr>
          <w:rFonts w:eastAsia="宋体"/>
          <w:sz w:val="21"/>
          <w:szCs w:val="21"/>
        </w:rPr>
        <w:t>OD</w:t>
      </w:r>
      <w:r w:rsidRPr="00B14FA3">
        <w:rPr>
          <w:rFonts w:eastAsia="宋体"/>
          <w:sz w:val="21"/>
          <w:szCs w:val="21"/>
        </w:rPr>
        <w:t>变量数。第</w:t>
      </w:r>
      <w:r w:rsidRPr="00B14FA3">
        <w:rPr>
          <w:rFonts w:eastAsia="宋体"/>
          <w:sz w:val="21"/>
          <w:szCs w:val="21"/>
        </w:rPr>
        <w:t>n</w:t>
      </w:r>
      <w:r w:rsidRPr="00B14FA3">
        <w:rPr>
          <w:rFonts w:eastAsia="宋体"/>
          <w:sz w:val="21"/>
          <w:szCs w:val="21"/>
        </w:rPr>
        <w:t>个样本的输入</w:t>
      </w:r>
      <w:r w:rsidRPr="00B14FA3">
        <w:rPr>
          <w:rFonts w:eastAsia="宋体"/>
          <w:sz w:val="21"/>
          <w:szCs w:val="21"/>
        </w:rPr>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rPr>
          <w:rFonts w:eastAsia="宋体"/>
          <w:sz w:val="21"/>
          <w:szCs w:val="21"/>
        </w:rPr>
        <w:t>本文取输入长度</w:t>
      </w:r>
      <w:r w:rsidRPr="00B14FA3">
        <w:rPr>
          <w:rFonts w:eastAsia="宋体"/>
          <w:sz w:val="21"/>
          <w:szCs w:val="21"/>
        </w:rPr>
        <w:t>L=96</w:t>
      </w:r>
      <w:r w:rsidRPr="00B14FA3">
        <w:rPr>
          <w:rFonts w:eastAsia="宋体"/>
          <w:sz w:val="21"/>
          <w:szCs w:val="21"/>
        </w:rPr>
        <w:t>、预测长度</w:t>
      </w:r>
      <w:r w:rsidRPr="00B14FA3">
        <w:rPr>
          <w:rFonts w:eastAsia="宋体"/>
          <w:sz w:val="21"/>
          <w:szCs w:val="21"/>
        </w:rPr>
        <w:t>H=24</w:t>
      </w:r>
      <w:r w:rsidRPr="00B14FA3">
        <w:rPr>
          <w:rFonts w:eastAsia="宋体"/>
          <w:sz w:val="21"/>
          <w:szCs w:val="21"/>
        </w:rPr>
        <w:t>、变量数</w:t>
      </w:r>
      <w:r w:rsidRPr="00B14FA3">
        <w:rPr>
          <w:rFonts w:eastAsia="宋体"/>
          <w:sz w:val="21"/>
          <w:szCs w:val="21"/>
        </w:rPr>
        <w:t>C=144</w:t>
      </w:r>
      <w:r w:rsidRPr="00B14FA3">
        <w:rPr>
          <w:rFonts w:eastAsia="宋体"/>
          <w:sz w:val="21"/>
          <w:szCs w:val="21"/>
        </w:rPr>
        <w:t>，学习映射</w:t>
      </w:r>
      <w:r w:rsidRPr="00B14FA3">
        <w:rPr>
          <w:rFonts w:eastAsia="宋体"/>
          <w:sz w:val="21"/>
          <w:szCs w:val="21"/>
        </w:rPr>
        <w:t>Ŷ_n=f_θ(X_n)</w:t>
      </w:r>
      <w:r w:rsidRPr="00B14FA3">
        <w:rPr>
          <w:rFonts w:eastAsia="宋体"/>
          <w:sz w:val="21"/>
          <w:szCs w:val="21"/>
        </w:rPr>
        <w:t>。原始非负流量</w:t>
      </w:r>
      <w:r w:rsidRPr="00B14FA3">
        <w:rPr>
          <w:rFonts w:eastAsia="宋体"/>
          <w:sz w:val="21"/>
          <w:szCs w:val="21"/>
        </w:rPr>
        <w:t>v_{t,c}</w:t>
      </w:r>
      <w:r w:rsidRPr="00B14FA3">
        <w:rPr>
          <w:rFonts w:eastAsia="宋体"/>
          <w:sz w:val="21"/>
          <w:szCs w:val="21"/>
        </w:rPr>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rPr>
          <w:rFonts w:eastAsia="宋体"/>
          <w:sz w:val="21"/>
          <w:szCs w:val="21"/>
        </w:rPr>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rPr>
          <w:rFonts w:eastAsia="宋体"/>
          <w:sz w:val="21"/>
          <w:szCs w:val="21"/>
        </w:rPr>
        <w:t>其中</w:t>
      </w:r>
      <w:r w:rsidRPr="00B14FA3">
        <w:rPr>
          <w:rFonts w:eastAsia="宋体"/>
          <w:sz w:val="21"/>
          <w:szCs w:val="21"/>
        </w:rPr>
        <w:t>μ_c^{tr}</w:t>
      </w:r>
      <w:r w:rsidRPr="00B14FA3">
        <w:rPr>
          <w:rFonts w:eastAsia="宋体"/>
          <w:sz w:val="21"/>
          <w:szCs w:val="21"/>
        </w:rPr>
        <w:t>和</w:t>
      </w:r>
      <w:r w:rsidRPr="00B14FA3">
        <w:rPr>
          <w:rFonts w:eastAsia="宋体"/>
          <w:sz w:val="21"/>
          <w:szCs w:val="21"/>
        </w:rPr>
        <w:t>σ_c^{tr}</w:t>
      </w:r>
      <w:r w:rsidRPr="00B14FA3">
        <w:rPr>
          <w:rFonts w:eastAsia="宋体"/>
          <w:sz w:val="21"/>
          <w:szCs w:val="21"/>
        </w:rPr>
        <w:t>只由训练集计算，再用于验证集和测试集，避免未来信息进入训练过程。时间点按</w:t>
      </w:r>
      <w:r w:rsidRPr="00B14FA3">
        <w:rPr>
          <w:rFonts w:eastAsia="宋体"/>
          <w:sz w:val="21"/>
          <w:szCs w:val="21"/>
        </w:rPr>
        <w:t>6</w:t>
      </w:r>
      <w:r w:rsidRPr="00B14FA3">
        <w:rPr>
          <w:rFonts w:ascii="Cambria Math" w:hAnsi="Cambria Math" w:cs="Cambria Math"/>
        </w:rPr>
        <w:t>∶</w:t>
      </w:r>
      <w:r w:rsidRPr="00B14FA3">
        <w:rPr>
          <w:rFonts w:eastAsia="宋体"/>
          <w:sz w:val="21"/>
          <w:szCs w:val="21"/>
        </w:rPr>
        <w:t>2</w:t>
      </w:r>
      <w:r w:rsidRPr="00B14FA3">
        <w:rPr>
          <w:rFonts w:ascii="Cambria Math" w:hAnsi="Cambria Math" w:cs="Cambria Math"/>
        </w:rPr>
        <w:t>∶</w:t>
      </w:r>
      <w:r w:rsidRPr="00B14FA3">
        <w:rPr>
          <w:rFonts w:eastAsia="宋体"/>
          <w:sz w:val="21"/>
          <w:szCs w:val="21"/>
        </w:rPr>
        <w:t>2</w:t>
      </w:r>
      <w:r w:rsidRPr="00B14FA3">
        <w:rPr>
          <w:rFonts w:eastAsia="宋体"/>
          <w:sz w:val="21"/>
          <w:szCs w:val="21"/>
        </w:rPr>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1.2 </w:t>
      </w:r>
      <w:r w:rsidRPr="00B14FA3">
        <w:rPr>
          <w:rFonts w:eastAsia="黑体"/>
          <w:b/>
          <w:bCs/>
          <w:szCs w:val="21"/>
          <w:sz w:val="21"/>
        </w:rPr>
        <w:t>多尺度序列构造</w:t>
      </w:r>
    </w:p>
    <w:p w14:paraId="5908EEE9" w14:textId="77777777" w:rsidR="00B14FA3" w:rsidRPr="00B14FA3" w:rsidRDefault="00B14FA3" w:rsidP="00B14FA3">
      <w:pPr>
        <w:spacing w:line="360" w:lineRule="auto"/>
      </w:pPr>
      <w:r w:rsidRPr="00B14FA3">
        <w:rPr>
          <w:rFonts w:eastAsia="宋体"/>
          <w:sz w:val="21"/>
          <w:szCs w:val="21"/>
        </w:rPr>
        <w:t>设尺度集合</w:t>
      </w:r>
      <w:r w:rsidRPr="00B14FA3">
        <w:rPr>
          <w:rFonts w:eastAsia="宋体"/>
          <w:sz w:val="21"/>
          <w:szCs w:val="21"/>
        </w:rPr>
        <w:t>S={1,2,4}</w:t>
      </w:r>
      <w:r w:rsidRPr="00B14FA3">
        <w:rPr>
          <w:rFonts w:eastAsia="宋体"/>
          <w:sz w:val="21"/>
          <w:szCs w:val="21"/>
        </w:rPr>
        <w:t>。对尺度</w:t>
      </w:r>
      <w:r w:rsidRPr="00B14FA3">
        <w:rPr>
          <w:rFonts w:eastAsia="宋体"/>
          <w:sz w:val="21"/>
          <w:szCs w:val="21"/>
        </w:rPr>
        <w:t>s</w:t>
      </w:r>
      <w:r w:rsidRPr="00B14FA3">
        <w:rPr>
          <w:rFonts w:eastAsia="宋体"/>
          <w:sz w:val="21"/>
          <w:szCs w:val="21"/>
        </w:rPr>
        <w:t>，使用窗口大小和步长均为</w:t>
      </w:r>
      <w:r w:rsidRPr="00B14FA3">
        <w:rPr>
          <w:rFonts w:eastAsia="宋体"/>
          <w:sz w:val="21"/>
          <w:szCs w:val="21"/>
        </w:rPr>
        <w:t>s</w:t>
      </w:r>
      <w:r w:rsidRPr="00B14FA3">
        <w:rPr>
          <w:rFonts w:eastAsia="宋体"/>
          <w:sz w:val="21"/>
          <w:szCs w:val="21"/>
        </w:rPr>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rPr>
          <w:rFonts w:eastAsia="宋体"/>
          <w:sz w:val="21"/>
          <w:szCs w:val="21"/>
        </w:rPr>
        <w:t>三个尺度的输入长度依次为</w:t>
      </w:r>
      <w:r w:rsidRPr="00B14FA3">
        <w:rPr>
          <w:rFonts w:eastAsia="宋体"/>
          <w:sz w:val="21"/>
          <w:szCs w:val="21"/>
        </w:rPr>
        <w:t>96</w:t>
      </w:r>
      <w:r w:rsidRPr="00B14FA3">
        <w:rPr>
          <w:rFonts w:eastAsia="宋体"/>
          <w:sz w:val="21"/>
          <w:szCs w:val="21"/>
        </w:rPr>
        <w:t>、</w:t>
      </w:r>
      <w:r w:rsidRPr="00B14FA3">
        <w:rPr>
          <w:rFonts w:eastAsia="宋体"/>
          <w:sz w:val="21"/>
          <w:szCs w:val="21"/>
        </w:rPr>
        <w:t>48</w:t>
      </w:r>
      <w:r w:rsidRPr="00B14FA3">
        <w:rPr>
          <w:rFonts w:eastAsia="宋体"/>
          <w:sz w:val="21"/>
          <w:szCs w:val="21"/>
        </w:rPr>
        <w:t>和</w:t>
      </w:r>
      <w:r w:rsidRPr="00B14FA3">
        <w:rPr>
          <w:rFonts w:eastAsia="宋体"/>
          <w:sz w:val="21"/>
          <w:szCs w:val="21"/>
        </w:rPr>
        <w:t>24</w:t>
      </w:r>
      <w:r w:rsidRPr="00B14FA3">
        <w:rPr>
          <w:rFonts w:eastAsia="宋体"/>
          <w:sz w:val="21"/>
          <w:szCs w:val="21"/>
        </w:rPr>
        <w:t>。尺度</w:t>
      </w:r>
      <w:r w:rsidRPr="00B14FA3">
        <w:rPr>
          <w:rFonts w:eastAsia="宋体"/>
          <w:sz w:val="21"/>
          <w:szCs w:val="21"/>
        </w:rPr>
        <w:t>1</w:t>
      </w:r>
      <w:r w:rsidRPr="00B14FA3">
        <w:rPr>
          <w:rFonts w:eastAsia="宋体"/>
          <w:sz w:val="21"/>
          <w:szCs w:val="21"/>
        </w:rPr>
        <w:t>保留逐小时细节，尺度</w:t>
      </w:r>
      <w:r w:rsidRPr="00B14FA3">
        <w:rPr>
          <w:rFonts w:eastAsia="宋体"/>
          <w:sz w:val="21"/>
          <w:szCs w:val="21"/>
        </w:rPr>
        <w:t>2</w:t>
      </w:r>
      <w:r w:rsidRPr="00B14FA3">
        <w:rPr>
          <w:rFonts w:eastAsia="宋体"/>
          <w:sz w:val="21"/>
          <w:szCs w:val="21"/>
        </w:rPr>
        <w:t>和</w:t>
      </w:r>
      <w:r w:rsidRPr="00B14FA3">
        <w:rPr>
          <w:rFonts w:eastAsia="宋体"/>
          <w:sz w:val="21"/>
          <w:szCs w:val="21"/>
        </w:rPr>
        <w:t>4</w:t>
      </w:r>
      <w:r w:rsidRPr="00B14FA3">
        <w:rPr>
          <w:rFonts w:eastAsia="宋体"/>
          <w:sz w:val="21"/>
          <w:szCs w:val="21"/>
        </w:rPr>
        <w:t>逐步平滑局部扰动并扩大单个表示对应的时间范围。由于</w:t>
      </w:r>
      <w:r w:rsidRPr="00B14FA3">
        <w:rPr>
          <w:rFonts w:eastAsia="宋体"/>
          <w:sz w:val="21"/>
          <w:szCs w:val="21"/>
        </w:rPr>
        <w:t>L</w:t>
      </w:r>
      <w:r w:rsidRPr="00B14FA3">
        <w:rPr>
          <w:rFonts w:eastAsia="宋体"/>
          <w:sz w:val="21"/>
          <w:szCs w:val="21"/>
        </w:rPr>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1.3 DLinear</w:t>
      </w:r>
      <w:r w:rsidRPr="00B14FA3">
        <w:rPr>
          <w:rFonts w:eastAsia="黑体"/>
          <w:b/>
          <w:bCs/>
          <w:szCs w:val="21"/>
          <w:sz w:val="21"/>
        </w:rPr>
        <w:t>尺度专家</w:t>
      </w:r>
    </w:p>
    <w:p w14:paraId="7DC9C821" w14:textId="77777777" w:rsidR="00B14FA3" w:rsidRPr="00B14FA3" w:rsidRDefault="00B14FA3" w:rsidP="00B14FA3">
      <w:pPr>
        <w:spacing w:line="360" w:lineRule="auto"/>
      </w:pPr>
      <w:r w:rsidRPr="00B14FA3">
        <w:rPr>
          <w:rFonts w:eastAsia="宋体"/>
          <w:sz w:val="21"/>
          <w:szCs w:val="21"/>
        </w:rPr>
        <w:t>每个尺度配置一个独立</w:t>
      </w:r>
      <w:r w:rsidRPr="00B14FA3">
        <w:rPr>
          <w:rFonts w:eastAsia="宋体"/>
          <w:sz w:val="21"/>
          <w:szCs w:val="21"/>
        </w:rPr>
        <w:t>DLinear</w:t>
      </w:r>
      <w:r w:rsidRPr="00B14FA3">
        <w:rPr>
          <w:rFonts w:eastAsia="宋体"/>
          <w:sz w:val="21"/>
          <w:szCs w:val="21"/>
        </w:rPr>
        <w:t>专家</w:t>
      </w:r>
      <w:r w:rsidRPr="00B14FA3">
        <w:rPr>
          <w:rFonts w:eastAsia="宋体"/>
          <w:sz w:val="21"/>
          <w:szCs w:val="21"/>
        </w:rPr>
        <w:t>[7]</w:t>
      </w:r>
      <w:r w:rsidRPr="00B14FA3">
        <w:rPr>
          <w:rFonts w:eastAsia="宋体"/>
          <w:sz w:val="21"/>
          <w:szCs w:val="21"/>
        </w:rPr>
        <w:t>。对尺度</w:t>
      </w:r>
      <w:r w:rsidRPr="00B14FA3">
        <w:rPr>
          <w:rFonts w:eastAsia="宋体"/>
          <w:sz w:val="21"/>
          <w:szCs w:val="21"/>
        </w:rPr>
        <w:t>s</w:t>
      </w:r>
      <w:r w:rsidRPr="00B14FA3">
        <w:rPr>
          <w:rFonts w:eastAsia="宋体"/>
          <w:sz w:val="21"/>
          <w:szCs w:val="21"/>
        </w:rPr>
        <w:t>的输入，以长度</w:t>
      </w:r>
      <w:r w:rsidRPr="00B14FA3">
        <w:rPr>
          <w:rFonts w:eastAsia="宋体"/>
          <w:sz w:val="21"/>
          <w:szCs w:val="21"/>
        </w:rPr>
        <w:t>q=25</w:t>
      </w:r>
      <w:r w:rsidRPr="00B14FA3">
        <w:rPr>
          <w:rFonts w:eastAsia="宋体"/>
          <w:sz w:val="21"/>
          <w:szCs w:val="21"/>
        </w:rPr>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rPr>
          <w:rFonts w:eastAsia="宋体"/>
          <w:sz w:val="21"/>
          <w:szCs w:val="21"/>
        </w:rPr>
        <w:t>趋势项</w:t>
      </w:r>
      <w:r w:rsidRPr="00B14FA3">
        <w:rPr>
          <w:rFonts w:eastAsia="宋体"/>
          <w:sz w:val="21"/>
          <w:szCs w:val="21"/>
        </w:rPr>
        <w:t>T^{(s)}</w:t>
      </w:r>
      <w:r w:rsidRPr="00B14FA3">
        <w:rPr>
          <w:rFonts w:eastAsia="宋体"/>
          <w:sz w:val="21"/>
          <w:szCs w:val="21"/>
        </w:rPr>
        <w:t>和余项</w:t>
      </w:r>
      <w:r w:rsidRPr="00B14FA3">
        <w:rPr>
          <w:rFonts w:eastAsia="宋体"/>
          <w:sz w:val="21"/>
          <w:szCs w:val="21"/>
        </w:rPr>
        <w:t>R^{(s)}</w:t>
      </w:r>
      <w:r w:rsidRPr="00B14FA3">
        <w:rPr>
          <w:rFonts w:eastAsia="宋体"/>
          <w:sz w:val="21"/>
          <w:szCs w:val="21"/>
        </w:rPr>
        <w:t>沿时间维分别通过线性层映射到预测长度</w:t>
      </w:r>
      <w:r w:rsidRPr="00B14FA3">
        <w:rPr>
          <w:rFonts w:eastAsia="宋体"/>
          <w:sz w:val="21"/>
          <w:szCs w:val="21"/>
        </w:rPr>
        <w:t>H</w:t>
      </w:r>
      <w:r w:rsidRPr="00B14FA3">
        <w:rPr>
          <w:rFonts w:eastAsia="宋体"/>
          <w:sz w:val="21"/>
          <w:szCs w:val="21"/>
        </w:rPr>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Pr>
          <w:rFonts w:ascii="Times New Roman" w:hAnsi="Times New Roman" w:eastAsia="宋体" w:cs="Times New Roman"/>
          <w:sz w:val="21"/>
          <w:szCs w:val="21"/>
        </w:rPr>
        <w:t>式中，趋势项线性层和余项线性层分别具有独立的时间映射权重与偏置参数。</w:t>
      </w:r>
      <w:r w:rsidRPr="00B14FA3">
        <w:rPr>
          <w:rFonts w:eastAsia="宋体"/>
          <w:sz w:val="21"/>
          <w:szCs w:val="21"/>
        </w:rPr>
        <w:t>同一尺度内的</w:t>
      </w:r>
      <w:r w:rsidRPr="00B14FA3">
        <w:rPr>
          <w:rFonts w:eastAsia="宋体"/>
          <w:sz w:val="21"/>
          <w:szCs w:val="21"/>
        </w:rPr>
        <w:t>144</w:t>
      </w:r>
      <w:r w:rsidRPr="00B14FA3">
        <w:rPr>
          <w:rFonts w:eastAsia="宋体"/>
          <w:sz w:val="21"/>
          <w:szCs w:val="21"/>
        </w:rPr>
        <w:t>个变量共享时间映射权重，三个尺度使用不同参数。共享权重显著控制参数量，但不会显式学习</w:t>
      </w:r>
      <w:r w:rsidRPr="00B14FA3">
        <w:rPr>
          <w:rFonts w:eastAsia="宋体"/>
          <w:sz w:val="21"/>
          <w:szCs w:val="21"/>
        </w:rPr>
        <w:t>OD</w:t>
      </w:r>
      <w:r w:rsidRPr="00B14FA3">
        <w:rPr>
          <w:rFonts w:eastAsia="宋体"/>
          <w:sz w:val="21"/>
          <w:szCs w:val="21"/>
        </w:rPr>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lastRenderedPageBreak/>
        <w:t xml:space="preserve">1.4 </w:t>
      </w:r>
      <w:r w:rsidRPr="00B14FA3">
        <w:rPr>
          <w:rFonts w:eastAsia="黑体"/>
          <w:b/>
          <w:bCs/>
          <w:szCs w:val="21"/>
          <w:sz w:val="21"/>
        </w:rPr>
        <w:t>样本级自适应尺度加权</w:t>
      </w:r>
    </w:p>
    <w:p w14:paraId="05DD26ED" w14:textId="77777777" w:rsidR="00B14FA3" w:rsidRPr="00B14FA3" w:rsidRDefault="00B14FA3" w:rsidP="00B14FA3">
      <w:pPr>
        <w:spacing w:line="360" w:lineRule="auto"/>
      </w:pPr>
      <w:r w:rsidRPr="00B14FA3">
        <w:rPr>
          <w:rFonts w:eastAsia="宋体"/>
          <w:sz w:val="21"/>
          <w:szCs w:val="21"/>
        </w:rPr>
        <w:t>固定平均默认三个尺度对每个窗口同等重要，难以反映流量状态差异。本文从原始输入</w:t>
      </w:r>
      <w:r w:rsidRPr="00B14FA3">
        <w:rPr>
          <w:rFonts w:eastAsia="宋体"/>
          <w:sz w:val="21"/>
          <w:szCs w:val="21"/>
        </w:rPr>
        <w:t>X_n</w:t>
      </w:r>
      <w:r w:rsidRPr="00B14FA3">
        <w:rPr>
          <w:rFonts w:eastAsia="宋体"/>
          <w:sz w:val="21"/>
          <w:szCs w:val="21"/>
        </w:rPr>
        <w:t>提取四维统计向量</w:t>
      </w:r>
      <w:r w:rsidRPr="00B14FA3">
        <w:rPr>
          <w:rFonts w:eastAsia="宋体"/>
          <w:sz w:val="21"/>
          <w:szCs w:val="21"/>
        </w:rPr>
        <w:t>z_n=[μ_n,σ_n,ℓ_n,d_n]</w:t>
      </w:r>
      <w:r w:rsidRPr="00B14FA3">
        <w:rPr>
          <w:rFonts w:eastAsia="宋体"/>
          <w:sz w:val="21"/>
          <w:szCs w:val="21"/>
        </w:rPr>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rPr>
          <w:rFonts w:eastAsia="宋体"/>
          <w:sz w:val="21"/>
          <w:szCs w:val="21"/>
        </w:rPr>
        <w:t>μ_n</w:t>
      </w:r>
      <w:r w:rsidRPr="00B14FA3">
        <w:rPr>
          <w:rFonts w:eastAsia="宋体"/>
          <w:sz w:val="21"/>
          <w:szCs w:val="21"/>
        </w:rPr>
        <w:t>描述窗口总体水平，</w:t>
      </w:r>
      <w:r w:rsidRPr="00B14FA3">
        <w:rPr>
          <w:rFonts w:eastAsia="宋体"/>
          <w:sz w:val="21"/>
          <w:szCs w:val="21"/>
        </w:rPr>
        <w:t>σ_n</w:t>
      </w:r>
      <w:r w:rsidRPr="00B14FA3">
        <w:rPr>
          <w:rFonts w:eastAsia="宋体"/>
          <w:sz w:val="21"/>
          <w:szCs w:val="21"/>
        </w:rPr>
        <w:t>描述离散程度，</w:t>
      </w:r>
      <w:r w:rsidRPr="00B14FA3">
        <w:rPr>
          <w:rFonts w:eastAsia="宋体"/>
          <w:sz w:val="21"/>
          <w:szCs w:val="21"/>
        </w:rPr>
        <w:t>ℓ_n</w:t>
      </w:r>
      <w:r w:rsidRPr="00B14FA3">
        <w:rPr>
          <w:rFonts w:eastAsia="宋体"/>
          <w:sz w:val="21"/>
          <w:szCs w:val="21"/>
        </w:rPr>
        <w:t>描述最近时刻状态，</w:t>
      </w:r>
      <w:r w:rsidRPr="00B14FA3">
        <w:rPr>
          <w:rFonts w:eastAsia="宋体"/>
          <w:sz w:val="21"/>
          <w:szCs w:val="21"/>
        </w:rPr>
        <w:t>d_n</w:t>
      </w:r>
      <w:r w:rsidRPr="00B14FA3">
        <w:rPr>
          <w:rFonts w:eastAsia="宋体"/>
          <w:sz w:val="21"/>
          <w:szCs w:val="21"/>
        </w:rPr>
        <w:t>描述平均变化强度。四维向量经隐藏维数为</w:t>
      </w:r>
      <w:r w:rsidRPr="00B14FA3">
        <w:rPr>
          <w:rFonts w:eastAsia="宋体"/>
          <w:sz w:val="21"/>
          <w:szCs w:val="21"/>
        </w:rPr>
        <w:t>16</w:t>
      </w:r>
      <w:r w:rsidRPr="00B14FA3">
        <w:rPr>
          <w:rFonts w:eastAsia="宋体"/>
          <w:sz w:val="21"/>
          <w:szCs w:val="21"/>
        </w:rPr>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Pr>
          <w:rFonts w:ascii="Times New Roman" w:hAnsi="Times New Roman" w:eastAsia="宋体" w:cs="Times New Roman"/>
          <w:sz w:val="21"/>
          <w:szCs w:val="21"/>
        </w:rPr>
        <w:t>式中，两层感知器各自包含权重矩阵和偏置，输出为三个尺度的得分向量。</w:t>
      </w:r>
      <w:r w:rsidRPr="00B14FA3">
        <w:rPr>
          <w:rFonts w:eastAsia="宋体"/>
          <w:sz w:val="21"/>
          <w:szCs w:val="21"/>
        </w:rPr>
        <w:t>Softmax</w:t>
      </w:r>
      <w:r w:rsidRPr="00B14FA3">
        <w:rPr>
          <w:rFonts w:eastAsia="宋体"/>
          <w:sz w:val="21"/>
          <w:szCs w:val="21"/>
        </w:rPr>
        <w:t>将分数转换为非负、和为</w:t>
      </w:r>
      <w:r w:rsidRPr="00B14FA3">
        <w:rPr>
          <w:rFonts w:eastAsia="宋体"/>
          <w:sz w:val="21"/>
          <w:szCs w:val="21"/>
        </w:rPr>
        <w:t>1</w:t>
      </w:r>
      <w:r w:rsidRPr="00B14FA3">
        <w:rPr>
          <w:rFonts w:eastAsia="宋体"/>
          <w:sz w:val="21"/>
          <w:szCs w:val="21"/>
        </w:rPr>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rPr>
          <w:rFonts w:eastAsia="宋体"/>
          <w:sz w:val="21"/>
          <w:szCs w:val="21"/>
        </w:rPr>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rPr>
          <w:rFonts w:eastAsia="宋体"/>
          <w:sz w:val="21"/>
          <w:szCs w:val="21"/>
        </w:rPr>
        <w:t>每个样本单独生成一组权重，同一样本的全部</w:t>
      </w:r>
      <w:r w:rsidRPr="00B14FA3">
        <w:rPr>
          <w:rFonts w:eastAsia="宋体"/>
          <w:sz w:val="21"/>
          <w:szCs w:val="21"/>
        </w:rPr>
        <w:t>OD</w:t>
      </w:r>
      <w:r w:rsidRPr="00B14FA3">
        <w:rPr>
          <w:rFonts w:eastAsia="宋体"/>
          <w:sz w:val="21"/>
          <w:szCs w:val="21"/>
        </w:rPr>
        <w:t>变量共享该组权重。这是一种样本级而不是变量级路由，可控制复杂度并便于解释。固定等权消融令</w:t>
      </w:r>
      <w:r w:rsidRPr="00B14FA3">
        <w:rPr>
          <w:rFonts w:eastAsia="宋体"/>
          <w:sz w:val="21"/>
          <w:szCs w:val="21"/>
        </w:rPr>
        <w:t>α_{n,s}=1/3</w:t>
      </w:r>
      <w:r w:rsidRPr="00B14FA3">
        <w:rPr>
          <w:rFonts w:eastAsia="宋体"/>
          <w:sz w:val="21"/>
          <w:szCs w:val="21"/>
        </w:rPr>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1.5 </w:t>
      </w:r>
      <w:r w:rsidRPr="00B14FA3">
        <w:rPr>
          <w:rFonts w:eastAsia="黑体"/>
          <w:b/>
          <w:bCs/>
          <w:szCs w:val="21"/>
          <w:sz w:val="21"/>
        </w:rPr>
        <w:t>辅助频域门控</w:t>
      </w:r>
    </w:p>
    <w:p w14:paraId="085D485B" w14:textId="77777777" w:rsidR="00B14FA3" w:rsidRPr="00B14FA3" w:rsidRDefault="00B14FA3" w:rsidP="00B14FA3">
      <w:pPr>
        <w:spacing w:line="360" w:lineRule="auto"/>
      </w:pPr>
      <w:r w:rsidRPr="00B14FA3">
        <w:rPr>
          <w:rFonts w:eastAsia="宋体"/>
          <w:sz w:val="21"/>
          <w:szCs w:val="21"/>
        </w:rPr>
        <w:t>对长度</w:t>
      </w:r>
      <w:r w:rsidRPr="00B14FA3">
        <w:rPr>
          <w:rFonts w:eastAsia="宋体"/>
          <w:sz w:val="21"/>
          <w:szCs w:val="21"/>
        </w:rPr>
        <w:t>L_s=L/s</w:t>
      </w:r>
      <w:r w:rsidRPr="00B14FA3">
        <w:rPr>
          <w:rFonts w:eastAsia="宋体"/>
          <w:sz w:val="21"/>
          <w:szCs w:val="21"/>
        </w:rPr>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rPr>
          <w:rFonts w:eastAsia="宋体"/>
          <w:sz w:val="21"/>
          <w:szCs w:val="21"/>
        </w:rPr>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Pr>
          <w:rFonts w:ascii="Times New Roman" w:hAnsi="Times New Roman" w:eastAsia="宋体" w:cs="Times New Roman"/>
          <w:sz w:val="21"/>
          <w:szCs w:val="21"/>
        </w:rPr>
        <w:t>式中，频域系数表示第n个样本在尺度s、频率索引k和变量c处的复数谱值，k为频率索引，j为虚数单位。</w:t>
      </w:r>
      <w:r w:rsidRPr="00B14FA3">
        <w:rPr>
          <w:rFonts w:eastAsia="宋体"/>
          <w:sz w:val="21"/>
          <w:szCs w:val="21"/>
        </w:rPr>
        <w:t>实值快速傅里叶变换（real fast Fourier transform，RFFT）</w:t>
      </w:r>
      <w:r w:rsidRPr="00B14FA3">
        <w:rPr>
          <w:rFonts w:eastAsia="宋体"/>
          <w:sz w:val="21"/>
          <w:szCs w:val="21"/>
        </w:rPr>
        <w:t>共有</w:t>
      </w:r>
      <w:r w:rsidRPr="00B14FA3">
        <w:rPr>
          <w:rFonts w:eastAsia="宋体"/>
          <w:sz w:val="21"/>
          <w:szCs w:val="21"/>
        </w:rPr>
        <w:t>L_s/2+1</w:t>
      </w:r>
      <w:r w:rsidRPr="00B14FA3">
        <w:rPr>
          <w:rFonts w:eastAsia="宋体"/>
          <w:sz w:val="21"/>
          <w:szCs w:val="21"/>
        </w:rPr>
        <w:t>个非负频率。按比例</w:t>
      </w:r>
      <w:r w:rsidRPr="00B14FA3">
        <w:rPr>
          <w:rFonts w:eastAsia="宋体"/>
          <w:sz w:val="21"/>
          <w:szCs w:val="21"/>
        </w:rPr>
        <w:t>r</w:t>
      </w:r>
      <w:r w:rsidRPr="00B14FA3">
        <w:rPr>
          <w:rFonts w:eastAsia="宋体"/>
          <w:sz w:val="21"/>
          <w:szCs w:val="21"/>
        </w:rPr>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rPr>
          <w:rFonts w:eastAsia="宋体"/>
          <w:sz w:val="21"/>
          <w:szCs w:val="21"/>
        </w:rPr>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m:rPr>
                    <m:sty m:val="bi"/>
                  </m:rP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m:rPr>
            <m:sty m:val="p"/>
          </m:rP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m:rPr>
                <m:sty m:val="bi"/>
              </m:rP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m:rPr>
                    <m:sty m:val="bi"/>
                  </m:rP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Pr>
          <w:rFonts w:ascii="Times New Roman" w:hAnsi="Times New Roman" w:eastAsia="宋体" w:cs="Times New Roman"/>
          <w:sz w:val="21"/>
          <w:szCs w:val="21"/>
        </w:rPr>
        <w:t>式中，可学习门控参数按尺度s和频率索引k定义，用于调节对应保留频率的幅值。</w:t>
      </w:r>
      <w:r w:rsidRPr="00B14FA3">
        <w:rPr>
          <w:rFonts w:eastAsia="宋体"/>
          <w:sz w:val="21"/>
          <w:szCs w:val="21"/>
        </w:rPr>
        <w:t>门控参数在同一尺度内按频率共享给所有</w:t>
      </w:r>
      <w:r w:rsidRPr="00B14FA3">
        <w:rPr>
          <w:rFonts w:eastAsia="宋体"/>
          <w:sz w:val="21"/>
          <w:szCs w:val="21"/>
        </w:rPr>
        <w:t>OD</w:t>
      </w:r>
      <w:r w:rsidRPr="00B14FA3">
        <w:rPr>
          <w:rFonts w:eastAsia="宋体"/>
          <w:sz w:val="21"/>
          <w:szCs w:val="21"/>
        </w:rPr>
        <w:t>变量。</w:t>
      </w:r>
      <w:r w:rsidRPr="00B14FA3">
        <w:rPr>
          <w:rFonts w:eastAsia="宋体"/>
          <w:sz w:val="21"/>
          <w:szCs w:val="21"/>
        </w:rPr>
        <w:t>IRFFT</w:t>
      </w:r>
      <w:r w:rsidRPr="00B14FA3">
        <w:rPr>
          <w:rFonts w:eastAsia="宋体"/>
          <w:sz w:val="21"/>
          <w:szCs w:val="21"/>
        </w:rPr>
        <w:t>将信号恢复到时域，再还原窗口均值与标</w:t>
      </w:r>
      <w:r w:rsidRPr="00B14FA3">
        <w:rPr>
          <w:rFonts w:eastAsia="宋体"/>
          <w:sz w:val="21"/>
          <w:szCs w:val="21"/>
        </w:rPr>
        <w:lastRenderedPageBreak/>
        <w:t>准差。实验比较</w:t>
      </w:r>
      <w:r w:rsidRPr="00B14FA3">
        <w:rPr>
          <w:rFonts w:eastAsia="宋体"/>
          <w:sz w:val="21"/>
          <w:szCs w:val="21"/>
        </w:rPr>
        <w:t>r</w:t>
      </w:r>
      <w:r w:rsidRPr="00B14FA3">
        <w:rPr>
          <w:rFonts w:ascii="Cambria Math" w:hAnsi="Cambria Math" w:cs="Cambria Math"/>
        </w:rPr>
        <w:t>∈</w:t>
      </w:r>
      <w:r w:rsidRPr="00B14FA3">
        <w:rPr>
          <w:rFonts w:eastAsia="宋体"/>
          <w:sz w:val="21"/>
          <w:szCs w:val="21"/>
        </w:rPr>
        <w:t>{0.25,0.50,0.75}</w:t>
      </w:r>
      <w:r w:rsidRPr="00B14FA3">
        <w:rPr>
          <w:rFonts w:eastAsia="宋体"/>
          <w:sz w:val="21"/>
          <w:szCs w:val="21"/>
        </w:rPr>
        <w:t>。该设计把频域处理限定为可控低通和衰减，不将其等同于</w:t>
      </w:r>
      <w:r w:rsidRPr="00B14FA3">
        <w:rPr>
          <w:rFonts w:eastAsia="宋体"/>
          <w:sz w:val="21"/>
          <w:szCs w:val="21"/>
        </w:rPr>
        <w:t>FITS[10]</w:t>
      </w:r>
      <w:r w:rsidRPr="00B14FA3">
        <w:rPr>
          <w:rFonts w:eastAsia="宋体"/>
          <w:sz w:val="21"/>
          <w:szCs w:val="21"/>
        </w:rPr>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1.6 </w:t>
      </w:r>
      <w:r w:rsidRPr="00B14FA3">
        <w:rPr>
          <w:rFonts w:eastAsia="黑体"/>
          <w:b/>
          <w:bCs/>
          <w:szCs w:val="21"/>
          <w:sz w:val="21"/>
        </w:rPr>
        <w:t>训练目标与复杂度</w:t>
      </w:r>
    </w:p>
    <w:p w14:paraId="0A34D515" w14:textId="77777777" w:rsidR="00B14FA3" w:rsidRPr="00B14FA3" w:rsidRDefault="00B14FA3" w:rsidP="00B14FA3">
      <w:pPr>
        <w:spacing w:line="360" w:lineRule="auto"/>
      </w:pPr>
      <w:r w:rsidRPr="00B14FA3">
        <w:rPr>
          <w:rFonts w:eastAsia="宋体"/>
          <w:sz w:val="21"/>
          <w:szCs w:val="21"/>
        </w:rPr>
        <w:t>模型以所有样本、预测时刻和</w:t>
      </w:r>
      <w:r w:rsidRPr="00B14FA3">
        <w:rPr>
          <w:rFonts w:eastAsia="宋体"/>
          <w:sz w:val="21"/>
          <w:szCs w:val="21"/>
        </w:rPr>
        <w:t>OD</w:t>
      </w:r>
      <w:r w:rsidRPr="00B14FA3">
        <w:rPr>
          <w:rFonts w:eastAsia="宋体"/>
          <w:sz w:val="21"/>
          <w:szCs w:val="21"/>
        </w:rPr>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Pr>
          <w:rFonts w:ascii="Times New Roman" w:hAnsi="Times New Roman" w:eastAsia="宋体" w:cs="Times New Roman"/>
          <w:sz w:val="21"/>
          <w:szCs w:val="21"/>
        </w:rPr>
        <w:t>式中，N为训练样本数，损失函数表示训练样本、预测时刻和OD变量上的平均平方误差。</w:t>
      </w:r>
      <w:r w:rsidRPr="00B14FA3">
        <w:rPr>
          <w:rFonts w:eastAsia="宋体"/>
          <w:sz w:val="21"/>
          <w:szCs w:val="21"/>
        </w:rPr>
        <w:t>使用</w:t>
      </w:r>
      <w:r w:rsidRPr="00B14FA3">
        <w:rPr>
          <w:rFonts w:eastAsia="宋体"/>
          <w:sz w:val="21"/>
          <w:szCs w:val="21"/>
        </w:rPr>
        <w:t>Adam</w:t>
      </w:r>
      <w:r w:rsidRPr="00B14FA3">
        <w:rPr>
          <w:rFonts w:eastAsia="宋体"/>
          <w:sz w:val="21"/>
          <w:szCs w:val="21"/>
        </w:rPr>
        <w:t>优化器更新参数，模型选择只依据验证集</w:t>
      </w:r>
      <w:r w:rsidRPr="00B14FA3">
        <w:rPr>
          <w:rFonts w:eastAsia="宋体"/>
          <w:sz w:val="21"/>
          <w:szCs w:val="21"/>
        </w:rPr>
        <w:t>均方误差</w:t>
      </w:r>
      <w:r w:rsidRPr="00B14FA3">
        <w:rPr>
          <w:rFonts w:eastAsia="宋体"/>
          <w:sz w:val="21"/>
          <w:szCs w:val="21"/>
        </w:rPr>
        <w:t>。无频域自适应多尺度模型含</w:t>
      </w:r>
      <w:r w:rsidRPr="00B14FA3">
        <w:rPr>
          <w:rFonts w:eastAsia="宋体"/>
          <w:sz w:val="21"/>
          <w:szCs w:val="21"/>
        </w:rPr>
        <w:t>8339</w:t>
      </w:r>
      <w:r w:rsidRPr="00B14FA3">
        <w:rPr>
          <w:rFonts w:eastAsia="宋体"/>
          <w:sz w:val="21"/>
          <w:szCs w:val="21"/>
        </w:rPr>
        <w:t>个可训练参数；加入频域门控后，参数量随保留频率数变化，</w:t>
      </w:r>
      <w:r w:rsidRPr="00B14FA3">
        <w:rPr>
          <w:rFonts w:eastAsia="宋体"/>
          <w:sz w:val="21"/>
          <w:szCs w:val="21"/>
        </w:rPr>
        <w:t>r=0.50</w:t>
      </w:r>
      <w:r w:rsidRPr="00B14FA3">
        <w:rPr>
          <w:rFonts w:eastAsia="宋体"/>
          <w:sz w:val="21"/>
          <w:szCs w:val="21"/>
        </w:rPr>
        <w:t>和</w:t>
      </w:r>
      <w:r w:rsidRPr="00B14FA3">
        <w:rPr>
          <w:rFonts w:eastAsia="宋体"/>
          <w:sz w:val="21"/>
          <w:szCs w:val="21"/>
        </w:rPr>
        <w:t>r=0.75</w:t>
      </w:r>
      <w:r w:rsidRPr="00B14FA3">
        <w:rPr>
          <w:rFonts w:eastAsia="宋体"/>
          <w:sz w:val="21"/>
          <w:szCs w:val="21"/>
        </w:rPr>
        <w:t>时分别为</w:t>
      </w:r>
      <w:r w:rsidRPr="00B14FA3">
        <w:rPr>
          <w:rFonts w:eastAsia="宋体"/>
          <w:sz w:val="21"/>
          <w:szCs w:val="21"/>
        </w:rPr>
        <w:t>8381</w:t>
      </w:r>
      <w:r w:rsidRPr="00B14FA3">
        <w:rPr>
          <w:rFonts w:eastAsia="宋体"/>
          <w:sz w:val="21"/>
          <w:szCs w:val="21"/>
        </w:rPr>
        <w:t>和</w:t>
      </w:r>
      <w:r w:rsidRPr="00B14FA3">
        <w:rPr>
          <w:rFonts w:eastAsia="宋体"/>
          <w:sz w:val="21"/>
          <w:szCs w:val="21"/>
        </w:rPr>
        <w:t>8402</w:t>
      </w:r>
      <w:r w:rsidRPr="00B14FA3">
        <w:rPr>
          <w:rFonts w:eastAsia="宋体"/>
          <w:sz w:val="21"/>
          <w:szCs w:val="21"/>
        </w:rPr>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rFonts w:eastAsia="宋体"/>
          <w:color w:val="000000"/>
          <w:sz w:val="21"/>
          <w:szCs w:val="21"/>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rFonts w:eastAsia="宋体"/>
          <w:color w:val="000000"/>
          <w:sz w:val="21"/>
          <w:szCs w:val="21"/>
        </w:rPr>
        <w:t>实验在Windows系统、NVIDIA GTX 1060 6 GB显卡和PyTorch 2.5.1+cu118环境下完成。模型采用Adam优化器，学习率为0.001，批量大小为16，最多训练30轮；当验证集均方误差连续6轮未改善时提前停止，并保留验证集均方误差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rFonts w:eastAsia="宋体"/>
          <w:color w:val="000000"/>
          <w:sz w:val="21"/>
          <w:szCs w:val="21"/>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rFonts w:eastAsia="宋体"/>
          <w:color w:val="000000"/>
          <w:sz w:val="21"/>
          <w:szCs w:val="21"/>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rFonts w:eastAsia="宋体"/>
                <w:b/>
                <w:color w:val="000000"/>
                <w:sz w:val="21"/>
                <w:szCs w:val="21"/>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rFonts w:eastAsia="宋体"/>
                <w:b/>
                <w:color w:val="000000"/>
                <w:sz w:val="21"/>
                <w:szCs w:val="21"/>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rFonts w:eastAsia="宋体"/>
                <w:b/>
                <w:color w:val="000000"/>
                <w:sz w:val="21"/>
                <w:szCs w:val="21"/>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rFonts w:eastAsia="宋体"/>
                <w:color w:val="000000"/>
                <w:sz w:val="21"/>
                <w:szCs w:val="21"/>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rFonts w:eastAsia="宋体"/>
                <w:color w:val="000000"/>
                <w:sz w:val="21"/>
                <w:szCs w:val="21"/>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rFonts w:eastAsia="宋体"/>
                <w:color w:val="000000"/>
                <w:sz w:val="21"/>
                <w:szCs w:val="21"/>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rFonts w:eastAsia="宋体"/>
                <w:color w:val="000000"/>
                <w:sz w:val="21"/>
                <w:szCs w:val="21"/>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rFonts w:eastAsia="宋体"/>
                <w:color w:val="000000"/>
                <w:sz w:val="21"/>
                <w:szCs w:val="21"/>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rFonts w:eastAsia="宋体"/>
                <w:color w:val="000000"/>
                <w:sz w:val="21"/>
                <w:szCs w:val="21"/>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rFonts w:eastAsia="宋体"/>
                <w:color w:val="000000"/>
                <w:sz w:val="21"/>
                <w:szCs w:val="21"/>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rFonts w:eastAsia="宋体"/>
                <w:color w:val="000000"/>
                <w:sz w:val="21"/>
                <w:szCs w:val="21"/>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r w:rsidRPr="00B14FA3">
              <w:rPr>
                <w:rFonts w:eastAsia="宋体"/>
                <w:color w:val="000000"/>
                <w:sz w:val="21"/>
                <w:szCs w:val="21"/>
              </w:rPr>
              <w:t>r=0.50</w:t>
            </w:r>
            <w:r w:rsidRPr="00B14FA3">
              <w:rPr>
                <w:rFonts w:eastAsia="宋体"/>
                <w:color w:val="000000"/>
                <w:sz w:val="21"/>
                <w:szCs w:val="21"/>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rFonts w:eastAsia="宋体"/>
                <w:color w:val="000000"/>
                <w:sz w:val="21"/>
                <w:szCs w:val="21"/>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rFonts w:eastAsia="宋体"/>
                <w:color w:val="000000"/>
                <w:sz w:val="21"/>
                <w:szCs w:val="21"/>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r w:rsidRPr="00B14FA3">
              <w:rPr>
                <w:rFonts w:eastAsia="宋体"/>
                <w:color w:val="000000"/>
                <w:sz w:val="21"/>
                <w:szCs w:val="21"/>
              </w:rPr>
              <w:t>r=0.50</w:t>
            </w:r>
            <w:r w:rsidRPr="00B14FA3">
              <w:rPr>
                <w:rFonts w:eastAsia="宋体"/>
                <w:color w:val="000000"/>
                <w:sz w:val="21"/>
                <w:szCs w:val="21"/>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rFonts w:eastAsia="宋体"/>
                <w:color w:val="000000"/>
                <w:sz w:val="21"/>
                <w:szCs w:val="21"/>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rFonts w:eastAsia="宋体"/>
                <w:color w:val="000000"/>
                <w:sz w:val="21"/>
                <w:szCs w:val="21"/>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rFonts w:eastAsia="宋体"/>
                <w:color w:val="000000"/>
                <w:sz w:val="21"/>
                <w:szCs w:val="21"/>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194"/>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194"/>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rFonts w:eastAsia="宋体"/>
          <w:color w:val="000000"/>
          <w:sz w:val="21"/>
          <w:szCs w:val="21"/>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rFonts w:eastAsia="宋体"/>
          <w:color w:val="000000"/>
          <w:sz w:val="21"/>
          <w:szCs w:val="21"/>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rFonts w:eastAsia="宋体"/>
                <w:b/>
                <w:color w:val="000000"/>
                <w:sz w:val="21"/>
                <w:szCs w:val="21"/>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rFonts w:eastAsia="宋体"/>
                <w:b/>
                <w:color w:val="000000"/>
                <w:sz w:val="21"/>
                <w:szCs w:val="21"/>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rFonts w:eastAsia="宋体"/>
                <w:b/>
                <w:color w:val="000000"/>
                <w:sz w:val="21"/>
                <w:szCs w:val="21"/>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rFonts w:eastAsia="宋体"/>
                <w:color w:val="000000"/>
                <w:sz w:val="21"/>
                <w:szCs w:val="21"/>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rFonts w:eastAsia="宋体"/>
                <w:color w:val="000000"/>
                <w:sz w:val="21"/>
                <w:szCs w:val="21"/>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rFonts w:eastAsia="宋体"/>
                <w:color w:val="000000"/>
                <w:sz w:val="21"/>
                <w:szCs w:val="21"/>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rFonts w:eastAsia="宋体"/>
                <w:color w:val="000000"/>
                <w:sz w:val="21"/>
                <w:szCs w:val="21"/>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rFonts w:eastAsia="宋体"/>
                <w:color w:val="000000"/>
                <w:sz w:val="21"/>
                <w:szCs w:val="21"/>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rFonts w:eastAsia="宋体"/>
                <w:color w:val="000000"/>
                <w:sz w:val="21"/>
                <w:szCs w:val="21"/>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rFonts w:eastAsia="宋体"/>
                <w:color w:val="000000"/>
                <w:sz w:val="21"/>
                <w:szCs w:val="21"/>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rFonts w:eastAsia="宋体"/>
                <w:color w:val="000000"/>
                <w:sz w:val="21"/>
                <w:szCs w:val="21"/>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rFonts w:eastAsia="宋体"/>
                <w:color w:val="000000"/>
                <w:sz w:val="21"/>
                <w:szCs w:val="21"/>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rFonts w:eastAsia="宋体"/>
                <w:color w:val="000000"/>
                <w:sz w:val="21"/>
                <w:szCs w:val="21"/>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rFonts w:eastAsia="宋体"/>
                <w:color w:val="000000"/>
                <w:sz w:val="21"/>
                <w:szCs w:val="21"/>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rFonts w:eastAsia="宋体"/>
                <w:color w:val="000000"/>
                <w:sz w:val="21"/>
                <w:szCs w:val="21"/>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rFonts w:eastAsia="宋体"/>
                <w:color w:val="000000"/>
                <w:sz w:val="21"/>
                <w:szCs w:val="21"/>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9423"/>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9423"/>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rFonts w:eastAsia="宋体"/>
          <w:color w:val="000000"/>
          <w:sz w:val="21"/>
          <w:szCs w:val="21"/>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38028"/>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38028"/>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t>表3给出r∈{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rFonts w:eastAsia="宋体"/>
                <w:b/>
                <w:color w:val="000000"/>
                <w:sz w:val="21"/>
                <w:szCs w:val="21"/>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rFonts w:eastAsia="宋体"/>
                <w:b/>
                <w:color w:val="000000"/>
                <w:sz w:val="21"/>
                <w:szCs w:val="21"/>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rFonts w:eastAsia="宋体"/>
                <w:b/>
                <w:color w:val="000000"/>
                <w:sz w:val="21"/>
                <w:szCs w:val="21"/>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rFonts w:eastAsia="宋体"/>
                <w:color w:val="000000"/>
                <w:sz w:val="21"/>
                <w:szCs w:val="21"/>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rFonts w:eastAsia="宋体"/>
                <w:color w:val="000000"/>
                <w:sz w:val="21"/>
                <w:szCs w:val="21"/>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rFonts w:eastAsia="宋体"/>
                <w:color w:val="000000"/>
                <w:sz w:val="21"/>
                <w:szCs w:val="21"/>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rFonts w:eastAsia="宋体"/>
                <w:color w:val="000000"/>
                <w:sz w:val="21"/>
                <w:szCs w:val="21"/>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rFonts w:eastAsia="宋体"/>
                <w:color w:val="000000"/>
                <w:sz w:val="21"/>
                <w:szCs w:val="21"/>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rFonts w:eastAsia="宋体"/>
                <w:color w:val="000000"/>
                <w:sz w:val="21"/>
                <w:szCs w:val="21"/>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rFonts w:eastAsia="宋体"/>
                <w:color w:val="000000"/>
                <w:sz w:val="21"/>
                <w:szCs w:val="21"/>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rFonts w:eastAsia="宋体"/>
                <w:color w:val="000000"/>
                <w:sz w:val="21"/>
                <w:szCs w:val="21"/>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rFonts w:eastAsia="宋体"/>
                <w:color w:val="000000"/>
                <w:sz w:val="21"/>
                <w:szCs w:val="21"/>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rFonts w:eastAsia="宋体"/>
                <w:color w:val="000000"/>
                <w:sz w:val="21"/>
                <w:szCs w:val="21"/>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70744"/>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70744"/>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rFonts w:eastAsia="宋体"/>
          <w:color w:val="000000"/>
          <w:sz w:val="21"/>
          <w:szCs w:val="21"/>
        </w:rPr>
        <w:t>在三个候选比例中，r=0.75时完整模型取得最低MSE 0.189447。相较DLinear，其MSE和MAE分别降低2.34%和9.28%；但相较无频域自适应多尺度主模型，MSE和MAE仍分别高1.80%和1.39%。因此，r=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rFonts w:eastAsia="宋体"/>
          <w:color w:val="000000"/>
          <w:sz w:val="21"/>
          <w:szCs w:val="21"/>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L=96和预测长度H=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70422"/>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70422"/>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rFonts w:eastAsia="宋体"/>
          <w:color w:val="000000"/>
          <w:sz w:val="21"/>
          <w:szCs w:val="21"/>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收稿日期：[请填写，格式YYYY-MM-DD]</w:t>
    </w:r>
    <w:r>
      <w:rPr>
        <w:sz w:val="16"/>
      </w:rPr>
      <w:t/>
    </w:r>
    <w:r>
      <w:rPr>
        <w:sz w:val="16"/>
      </w:rPr>
      <w:t/>
    </w:r>
    <w:r>
      <w:rPr>
        <w:sz w:val="16"/>
      </w:rPr>
      <w:t/>
    </w:r>
  </w:p>
  <w:p w14:paraId="23215570" w14:textId="77777777" w:rsidR="00F23B67" w:rsidRDefault="00F23B67">
    <w:pPr>
      <w:jc w:val="left"/>
    </w:pPr>
    <w:r>
      <w:rPr>
        <w:sz w:val="16"/>
      </w:rPr>
      <w:t>基金项目：[基金来源]（[基金项目编号]）</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50D77D3B" w14:textId="77777777" w:rsidR="00F23B67" w:rsidRDefault="00F23B67">
    <w:pPr>
      <w:jc w:val="left"/>
    </w:pPr>
    <w:r>
      <w:rPr>
        <w:sz w:val="16"/>
      </w:rPr>
      <w:t>第一作者简介：[姓名]（[出生年]—），[性别（民族，汉族可省略）]，[职称]，[学位（若在读请注明）]，研究方向：[方向1]；[方向2]。</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75EC2E93" w14:textId="77777777" w:rsidR="00F23B67" w:rsidRDefault="00F23B67">
    <w:pPr>
      <w:jc w:val="left"/>
    </w:pPr>
    <w:r>
      <w:rPr>
        <w:sz w:val="16"/>
      </w:rPr>
      <w:t>通信作者简介：[姓名]（[出生年]—），[性别（民族，汉族可省略）]，[职称]，[学位（若在读请注明）]，研究方向：[方向1]；[方向2]，电子邮箱：[邮箱]。</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