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[6]</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[7]</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[8]</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w:t>
      </w:r>
      <w:r>
        <w:rPr>
          <w:color w:val="000000"/>
          <w:szCs w:val="21"/>
        </w:rPr>
        <w:t>中的</w:t>
      </w:r>
      <w:r>
        <w:rPr>
          <w:color w:val="000000"/>
          <w:szCs w:val="21"/>
        </w:rPr>
        <w:t>Abilene</w:t>
      </w:r>
      <w:r>
        <w:rPr>
          <w:color w:val="000000"/>
          <w:szCs w:val="21"/>
        </w:rPr>
        <w:t>和</w:t>
      </w:r>
      <w:r>
        <w:rPr>
          <w:color w:val="000000"/>
          <w:szCs w:val="21"/>
        </w:rPr>
        <w:t>GÉANT</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同种子配对结果见图</w:t>
      </w:r>
      <w:r>
        <w:rPr>
          <w:color w:val="000000"/>
          <w:szCs w:val="21"/>
        </w:rPr>
        <w:t>2</w:t>
      </w:r>
      <w:r>
        <w:rPr>
          <w:color w:val="000000"/>
          <w:szCs w:val="21"/>
        </w:rPr>
        <w:t>。</w:t>
      </w:r>
      <w:r>
        <w:rPr>
          <w:color w:val="000000"/>
          <w:szCs w:val="21"/>
        </w:rPr>
        <w:t>Abilene</w:t>
      </w:r>
      <w:r>
        <w:rPr>
          <w:color w:val="000000"/>
          <w:szCs w:val="21"/>
        </w:rPr>
        <w:t>中，自适应模型相对固定等权模型在</w:t>
      </w:r>
      <w:r>
        <w:rPr>
          <w:color w:val="000000"/>
          <w:szCs w:val="21"/>
        </w:rPr>
        <w:t>8</w:t>
      </w:r>
      <w:r>
        <w:rPr>
          <w:color w:val="000000"/>
          <w:szCs w:val="21"/>
        </w:rPr>
        <w:t>个种子中的</w:t>
      </w:r>
      <w:r>
        <w:rPr>
          <w:color w:val="000000"/>
          <w:szCs w:val="21"/>
        </w:rPr>
        <w:t>6</w:t>
      </w:r>
      <w:r>
        <w:rPr>
          <w:color w:val="000000"/>
          <w:szCs w:val="21"/>
        </w:rPr>
        <w:t>个取得更低</w:t>
      </w:r>
      <w:r>
        <w:rPr>
          <w:color w:val="000000"/>
          <w:szCs w:val="21"/>
        </w:rPr>
        <w:t>MSE</w:t>
      </w:r>
      <w:r>
        <w:rPr>
          <w:color w:val="000000"/>
          <w:szCs w:val="21"/>
        </w:rPr>
        <w:t>；</w:t>
      </w:r>
      <w:r>
        <w:rPr>
          <w:color w:val="000000"/>
          <w:szCs w:val="21"/>
        </w:rPr>
        <w:t>GÉANT</w:t>
      </w:r>
      <w:r>
        <w:rPr>
          <w:color w:val="000000"/>
          <w:szCs w:val="21"/>
        </w:rPr>
        <w:t>中为</w:t>
      </w:r>
      <w:r>
        <w:rPr>
          <w:color w:val="000000"/>
          <w:szCs w:val="21"/>
        </w:rPr>
        <w:t>7</w:t>
      </w:r>
      <w:r>
        <w:rPr>
          <w:color w:val="000000"/>
          <w:szCs w:val="21"/>
        </w:rPr>
        <w:t>个。</w:t>
      </w:r>
      <w:r>
        <w:rPr>
          <w:color w:val="000000"/>
          <w:szCs w:val="21"/>
        </w:rPr>
        <w:t>Abilene</w:t>
      </w:r>
      <w:r>
        <w:rPr>
          <w:color w:val="000000"/>
          <w:szCs w:val="21"/>
        </w:rPr>
        <w:t>上，自适应模型相对</w:t>
      </w:r>
      <w:r>
        <w:rPr>
          <w:color w:val="000000"/>
          <w:szCs w:val="21"/>
        </w:rPr>
        <w:t>DLinear</w:t>
      </w:r>
      <w:r>
        <w:rPr>
          <w:color w:val="000000"/>
          <w:szCs w:val="21"/>
        </w:rPr>
        <w:t>的</w:t>
      </w:r>
      <w:r>
        <w:rPr>
          <w:color w:val="000000"/>
          <w:szCs w:val="21"/>
        </w:rPr>
        <w:t>MSE</w:t>
      </w:r>
      <w:r>
        <w:rPr>
          <w:color w:val="000000"/>
          <w:szCs w:val="21"/>
        </w:rPr>
        <w:t>平均配对差为</w:t>
      </w:r>
      <w:r>
        <w:rPr>
          <w:color w:val="000000"/>
          <w:szCs w:val="21"/>
        </w:rPr>
        <w:t>0.00537</w:t>
      </w:r>
      <w:r>
        <w:rPr>
          <w:color w:val="000000"/>
          <w:szCs w:val="21"/>
        </w:rPr>
        <w:t>，</w:t>
      </w:r>
      <w:r>
        <w:rPr>
          <w:color w:val="000000"/>
          <w:szCs w:val="21"/>
        </w:rPr>
        <w:t>95%</w:t>
      </w:r>
      <w:r>
        <w:rPr>
          <w:color w:val="000000"/>
          <w:szCs w:val="21"/>
        </w:rPr>
        <w:t>置信区间为</w:t>
      </w:r>
      <w:r>
        <w:rPr>
          <w:color w:val="000000"/>
          <w:szCs w:val="21"/>
        </w:rPr>
        <w:t>[0.00338,0.00736]</w:t>
      </w:r>
      <w:r>
        <w:rPr>
          <w:color w:val="000000"/>
          <w:szCs w:val="21"/>
        </w:rPr>
        <w:t>，</w:t>
      </w:r>
      <w:r>
        <w:rPr>
          <w:color w:val="000000"/>
          <w:szCs w:val="21"/>
        </w:rPr>
        <w:t>p&lt;0.001</w:t>
      </w:r>
      <w:r>
        <w:rPr>
          <w:color w:val="000000"/>
          <w:szCs w:val="21"/>
        </w:rPr>
        <w:t>；相对固定等权模型的</w:t>
      </w:r>
      <w:r>
        <w:rPr>
          <w:color w:val="000000"/>
          <w:szCs w:val="21"/>
        </w:rPr>
        <w:t>MSE</w:t>
      </w:r>
      <w:r>
        <w:rPr>
          <w:color w:val="000000"/>
          <w:szCs w:val="21"/>
        </w:rPr>
        <w:t>差异</w:t>
      </w:r>
      <w:r>
        <w:rPr>
          <w:color w:val="000000"/>
          <w:szCs w:val="21"/>
        </w:rPr>
        <w:t>p=0.061</w:t>
      </w:r>
      <w:r>
        <w:rPr>
          <w:color w:val="000000"/>
          <w:szCs w:val="21"/>
        </w:rPr>
        <w:t>，而</w:t>
      </w:r>
      <w:r>
        <w:rPr>
          <w:color w:val="000000"/>
          <w:szCs w:val="21"/>
        </w:rPr>
        <w:t>MAE</w:t>
      </w:r>
      <w:r>
        <w:rPr>
          <w:color w:val="000000"/>
          <w:szCs w:val="21"/>
        </w:rPr>
        <w:t>差异</w:t>
      </w:r>
      <w:r>
        <w:rPr>
          <w:color w:val="000000"/>
          <w:szCs w:val="21"/>
        </w:rPr>
        <w:t>p=0.004</w:t>
      </w:r>
      <w:r>
        <w:rPr>
          <w:color w:val="000000"/>
          <w:szCs w:val="21"/>
        </w:rPr>
        <w:t>。</w:t>
      </w:r>
      <w:r>
        <w:rPr>
          <w:color w:val="000000"/>
          <w:szCs w:val="21"/>
        </w:rPr>
        <w:t>GÉANT</w:t>
      </w:r>
      <w:r>
        <w:rPr>
          <w:color w:val="000000"/>
          <w:szCs w:val="21"/>
        </w:rPr>
        <w:t>上，自适应模型相对</w:t>
      </w:r>
      <w:r>
        <w:rPr>
          <w:color w:val="000000"/>
          <w:szCs w:val="21"/>
        </w:rPr>
        <w:t>DLinear</w:t>
      </w:r>
      <w:r>
        <w:rPr>
          <w:color w:val="000000"/>
          <w:szCs w:val="21"/>
        </w:rPr>
        <w:t>和固定等权模型的</w:t>
      </w:r>
      <w:r>
        <w:rPr>
          <w:color w:val="000000"/>
          <w:szCs w:val="21"/>
        </w:rPr>
        <w:t>MSE</w:t>
      </w:r>
      <w:r>
        <w:rPr>
          <w:color w:val="000000"/>
          <w:szCs w:val="21"/>
        </w:rPr>
        <w:t>配对检验</w:t>
      </w:r>
      <w:r>
        <w:rPr>
          <w:color w:val="000000"/>
          <w:szCs w:val="21"/>
        </w:rPr>
        <w:t>p</w:t>
      </w:r>
      <w:r>
        <w:rPr>
          <w:color w:val="000000"/>
          <w:szCs w:val="21"/>
        </w:rPr>
        <w:t>值分别为</w:t>
      </w:r>
      <w:r>
        <w:rPr>
          <w:color w:val="000000"/>
          <w:szCs w:val="21"/>
        </w:rPr>
        <w:t>0.305</w:t>
      </w:r>
      <w:r>
        <w:rPr>
          <w:color w:val="000000"/>
          <w:szCs w:val="21"/>
        </w:rPr>
        <w:t>和</w:t>
      </w:r>
      <w:r>
        <w:rPr>
          <w:color w:val="000000"/>
          <w:szCs w:val="21"/>
        </w:rPr>
        <w:t>0.149</w:t>
      </w:r>
      <w:r>
        <w:rPr>
          <w:color w:val="000000"/>
          <w:szCs w:val="21"/>
        </w:rPr>
        <w:t>。因此，两个数据集的平均误差方向均支持自适应加权，但不能表述为所有随机种子均提升；尤其</w:t>
      </w:r>
      <w:r>
        <w:rPr>
          <w:color w:val="000000"/>
          <w:szCs w:val="21"/>
        </w:rPr>
        <w:t>GÉANT</w:t>
      </w:r>
      <w:r>
        <w:rPr>
          <w:color w:val="000000"/>
          <w:szCs w:val="21"/>
        </w:rPr>
        <w:t>仍存在较明显的跨种子波动。</w:t>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6115050" cy="4410194"/>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5050" cy="4410194"/>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2 </w:t>
      </w:r>
      <w:r>
        <w:rPr>
          <w:rFonts w:eastAsia="黑体"/>
          <w:b/>
          <w:sz w:val="18"/>
          <w:szCs w:val="18"/>
        </w:rPr>
        <w:t>固定等权与自适应权重的八随机种子配对</w:t>
      </w:r>
      <w:r>
        <w:rPr>
          <w:rFonts w:eastAsia="黑体"/>
          <w:b/>
          <w:sz w:val="18"/>
          <w:szCs w:val="18"/>
        </w:rPr>
        <w:t>MSE</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为观察样本级路由器是否退化为固定平均融合，图</w:t>
      </w:r>
      <w:r>
        <w:rPr>
          <w:color w:val="000000"/>
          <w:szCs w:val="21"/>
        </w:rPr>
        <w:t>3</w:t>
      </w:r>
      <w:r>
        <w:rPr>
          <w:color w:val="000000"/>
          <w:szCs w:val="21"/>
        </w:rPr>
        <w:t>固定选取随机种子</w:t>
      </w:r>
      <w:r>
        <w:rPr>
          <w:color w:val="000000"/>
          <w:szCs w:val="21"/>
        </w:rPr>
        <w:t>42</w:t>
      </w:r>
      <w:r>
        <w:rPr>
          <w:color w:val="000000"/>
          <w:szCs w:val="21"/>
        </w:rPr>
        <w:t>，并展示两个数据集测试集前</w:t>
      </w:r>
      <w:r>
        <w:rPr>
          <w:color w:val="000000"/>
          <w:szCs w:val="21"/>
        </w:rPr>
        <w:t>150</w:t>
      </w:r>
      <w:r>
        <w:rPr>
          <w:color w:val="000000"/>
          <w:szCs w:val="21"/>
        </w:rPr>
        <w:t>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2625" cy="254942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254942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3 </w:t>
      </w:r>
      <w:r>
        <w:rPr>
          <w:rFonts w:eastAsia="黑体"/>
          <w:b/>
          <w:sz w:val="18"/>
          <w:szCs w:val="18"/>
        </w:rPr>
        <w:t>两数据集样本级路由权重变化（随机种子</w:t>
      </w:r>
      <w:r>
        <w:rPr>
          <w:rFonts w:eastAsia="黑体"/>
          <w:b/>
          <w:sz w:val="18"/>
          <w:szCs w:val="18"/>
        </w:rPr>
        <w:t>42</w:t>
      </w:r>
      <w:r>
        <w:rPr>
          <w:rFonts w:eastAsia="黑体"/>
          <w:b/>
          <w:sz w:val="18"/>
          <w:szCs w:val="18"/>
        </w:rPr>
        <w:t>）</w:t>
      </w:r>
    </w:p>
    <w:p w14:paraId="2E41C05B" w14:textId="77777777" w:rsidR="00B14FA3" w:rsidRPr="00B14FA3" w:rsidRDefault="00B14FA3" w:rsidP="00B14FA3">
      <w:r>
        <w:rPr>
          <w:color w:val="000000"/>
          <w:szCs w:val="21"/>
        </w:rPr>
        <w:t>图</w:t>
      </w:r>
      <w:r>
        <w:rPr>
          <w:color w:val="000000"/>
          <w:szCs w:val="21"/>
        </w:rPr>
        <w:t>3</w:t>
      </w:r>
      <w:r>
        <w:rPr>
          <w:color w:val="000000"/>
          <w:szCs w:val="21"/>
        </w:rPr>
        <w:t>中三个尺度权重均随测试窗口发生变化，并未长期固定在</w:t>
      </w:r>
      <w:r>
        <w:rPr>
          <w:color w:val="000000"/>
          <w:szCs w:val="21"/>
        </w:rPr>
        <w:t>1/3</w:t>
      </w:r>
      <w:r>
        <w:rPr>
          <w:color w:val="000000"/>
          <w:szCs w:val="21"/>
        </w:rPr>
        <w:t>附近，说明路由器能够依据输入窗口统计状态动态调整尺度组合。以随机种子</w:t>
      </w:r>
      <w:r>
        <w:rPr>
          <w:color w:val="000000"/>
          <w:szCs w:val="21"/>
        </w:rPr>
        <w:t>42</w:t>
      </w:r>
      <w:r>
        <w:rPr>
          <w:color w:val="000000"/>
          <w:szCs w:val="21"/>
        </w:rPr>
        <w:t>为例，两数据集均表现出较明显的尺度偏好变化；但不同随机种子的平均权重并不完全一致，因此不能将某一尺度解释为所有网络场景下持续占优的固定尺度。</w:t>
      </w:r>
    </w:p>
    <w:p w14:paraId="2B7D35DC" w14:textId="77777777" w:rsidR="00B14FA3" w:rsidRPr="00B14FA3" w:rsidRDefault="00B14FA3" w:rsidP="00B14FA3">
      <w:r>
        <w:rPr>
          <w:color w:val="000000"/>
          <w:szCs w:val="21"/>
        </w:rPr>
        <w:t>综合表</w:t>
      </w:r>
      <w:r>
        <w:rPr>
          <w:color w:val="000000"/>
          <w:szCs w:val="21"/>
        </w:rPr>
        <w:t>2</w:t>
      </w:r>
      <w:r>
        <w:rPr>
          <w:color w:val="000000"/>
          <w:szCs w:val="21"/>
        </w:rPr>
        <w:t>、表</w:t>
      </w:r>
      <w:r>
        <w:rPr>
          <w:color w:val="000000"/>
          <w:szCs w:val="21"/>
        </w:rPr>
        <w:t>3</w:t>
      </w:r>
      <w:r>
        <w:rPr>
          <w:color w:val="000000"/>
          <w:szCs w:val="21"/>
        </w:rPr>
        <w:t>和图</w:t>
      </w:r>
      <w:r>
        <w:rPr>
          <w:color w:val="000000"/>
          <w:szCs w:val="21"/>
        </w:rPr>
        <w:t>2</w:t>
      </w:r>
      <w:r>
        <w:rPr>
          <w:color w:val="000000"/>
          <w:szCs w:val="21"/>
        </w:rPr>
        <w:t>可见，样本级自适应尺度加权的平均收益已在</w:t>
      </w:r>
      <w:r>
        <w:rPr>
          <w:color w:val="000000"/>
          <w:szCs w:val="21"/>
        </w:rPr>
        <w:t>Abilene</w:t>
      </w:r>
      <w:r>
        <w:rPr>
          <w:color w:val="000000"/>
          <w:szCs w:val="21"/>
        </w:rPr>
        <w:t>和</w:t>
      </w:r>
      <w:r>
        <w:rPr>
          <w:color w:val="000000"/>
          <w:szCs w:val="21"/>
        </w:rPr>
        <w:t>GÉANT</w:t>
      </w:r>
      <w:r>
        <w:rPr>
          <w:color w:val="000000"/>
          <w:szCs w:val="21"/>
        </w:rPr>
        <w:t>两个骨干网数据集上得到验证，但</w:t>
      </w:r>
      <w:r>
        <w:rPr>
          <w:color w:val="000000"/>
          <w:szCs w:val="21"/>
        </w:rPr>
        <w:t>GÉANT</w:t>
      </w:r>
      <w:r>
        <w:rPr>
          <w:color w:val="000000"/>
          <w:szCs w:val="21"/>
        </w:rPr>
        <w:t>上的跨种子方差更大，稳定性仍有提升空间。当前实验仅考察</w:t>
      </w:r>
      <w:r>
        <w:rPr>
          <w:color w:val="000000"/>
          <w:szCs w:val="21"/>
        </w:rPr>
        <w:t>L=96</w:t>
      </w:r>
      <w:r>
        <w:rPr>
          <w:color w:val="000000"/>
          <w:szCs w:val="21"/>
        </w:rPr>
        <w:t>、</w:t>
      </w:r>
      <w:r>
        <w:rPr>
          <w:color w:val="000000"/>
          <w:szCs w:val="21"/>
        </w:rPr>
        <w:t>H=24</w:t>
      </w:r>
      <w:r>
        <w:rPr>
          <w:color w:val="000000"/>
          <w:szCs w:val="21"/>
        </w:rPr>
        <w:t>的单一预测设置，未显式建模网络拓扑，外部模型也仅包含</w:t>
      </w:r>
      <w:r>
        <w:rPr>
          <w:color w:val="000000"/>
          <w:szCs w:val="21"/>
        </w:rPr>
        <w:t>LightTS</w:t>
      </w:r>
      <w:r>
        <w:rPr>
          <w:color w:val="000000"/>
          <w:szCs w:val="21"/>
        </w:rPr>
        <w:t>一种轻量基线；同时，本文</w:t>
      </w:r>
      <w:r>
        <w:rPr>
          <w:color w:val="000000"/>
          <w:szCs w:val="21"/>
        </w:rPr>
        <w:t>“</w:t>
      </w:r>
      <w:r>
        <w:rPr>
          <w:color w:val="000000"/>
          <w:szCs w:val="21"/>
        </w:rPr>
        <w:t>轻量</w:t>
      </w:r>
      <w:r>
        <w:rPr>
          <w:color w:val="000000"/>
          <w:szCs w:val="21"/>
        </w:rPr>
        <w:t>”</w:t>
      </w:r>
      <w:r>
        <w:rPr>
          <w:color w:val="000000"/>
          <w:szCs w:val="21"/>
        </w:rPr>
        <w:t>主要指参数规模，而非训练时间最短。因此，后续仍需在更多网络、预测长度和拓扑约束条件下进一步检验泛化性。</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在</w:t>
      </w:r>
      <w:r>
        <w:rPr>
          <w:color w:val="000000"/>
          <w:szCs w:val="21"/>
        </w:rPr>
        <w:t>Abilene</w:t>
      </w:r>
      <w:r>
        <w:rPr>
          <w:color w:val="000000"/>
          <w:szCs w:val="21"/>
        </w:rPr>
        <w:t>和</w:t>
      </w:r>
      <w:r>
        <w:rPr>
          <w:color w:val="000000"/>
          <w:szCs w:val="21"/>
        </w:rPr>
        <w:t>GÉANT</w:t>
      </w:r>
      <w:r>
        <w:rPr>
          <w:color w:val="000000"/>
          <w:szCs w:val="21"/>
        </w:rPr>
        <w:t>上的实验表明，样本级自适应多尺度加权可在较小参数增量下改善固定等权融合，并降低相对</w:t>
      </w:r>
      <w:r>
        <w:rPr>
          <w:color w:val="000000"/>
          <w:szCs w:val="21"/>
        </w:rPr>
        <w:t>DLinear</w:t>
      </w:r>
      <w:r>
        <w:rPr>
          <w:color w:val="000000"/>
          <w:szCs w:val="21"/>
        </w:rPr>
        <w:t>和</w:t>
      </w:r>
      <w:r>
        <w:rPr>
          <w:color w:val="000000"/>
          <w:szCs w:val="21"/>
        </w:rPr>
        <w:t>LightTS</w:t>
      </w:r>
      <w:r>
        <w:rPr>
          <w:color w:val="000000"/>
          <w:szCs w:val="21"/>
        </w:rPr>
        <w:t>的平均预测误差；但</w:t>
      </w:r>
      <w:r>
        <w:rPr>
          <w:color w:val="000000"/>
          <w:szCs w:val="21"/>
        </w:rPr>
        <w:t>GÉANT</w:t>
      </w:r>
      <w:r>
        <w:rPr>
          <w:color w:val="000000"/>
          <w:szCs w:val="21"/>
        </w:rPr>
        <w:t>跨种子波动较大。后续将扩展更多网络、预测长度及拓扑约束，以进一步检验稳定性与泛化能力。</w:t>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49ABA0AF" w14:textId="77777777" w:rsidR="00B14FA3" w:rsidRPr="00B14FA3" w:rsidRDefault="00B14FA3" w:rsidP="00B14FA3">
      <w:pPr>
        <w:ind w:left="420" w:hanging="420"/>
      </w:pPr>
      <w:r>
        <w:rPr>
          <w:sz w:val="18"/>
        </w:rPr>
        <w:t xml:space="preserve">[6] </w:t>
      </w:r>
      <w:r>
        <w:rPr>
          <w:sz w:val="18"/>
        </w:rPr>
        <w:t>韦烜</w:t>
      </w:r>
      <w:r>
        <w:rPr>
          <w:sz w:val="18"/>
        </w:rPr>
        <w:t xml:space="preserve">, </w:t>
      </w:r>
      <w:r>
        <w:rPr>
          <w:sz w:val="18"/>
        </w:rPr>
        <w:t>刘志华</w:t>
      </w:r>
      <w:r>
        <w:rPr>
          <w:sz w:val="18"/>
        </w:rPr>
        <w:t xml:space="preserve">, </w:t>
      </w:r>
      <w:r>
        <w:rPr>
          <w:sz w:val="18"/>
        </w:rPr>
        <w:t>李青</w:t>
      </w:r>
      <w:r>
        <w:rPr>
          <w:sz w:val="18"/>
        </w:rPr>
        <w:t xml:space="preserve">, </w:t>
      </w:r>
      <w:r>
        <w:rPr>
          <w:sz w:val="18"/>
        </w:rPr>
        <w:t>等</w:t>
      </w:r>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系统工程与电子技术</w:t>
      </w:r>
      <w:r>
        <w:rPr>
          <w:sz w:val="18"/>
        </w:rPr>
        <w:t>, 2024, 46(6): 2164-2173. DOI: 10.12305/j.issn.1001-506X.2024.06.35.</w:t>
      </w:r>
    </w:p>
    <w:p w14:paraId="58403822" w14:textId="77777777" w:rsidR="00B14FA3" w:rsidRPr="00B14FA3" w:rsidRDefault="00B14FA3" w:rsidP="00B14FA3">
      <w:pPr>
        <w:ind w:left="420" w:hanging="420"/>
      </w:pPr>
      <w:r>
        <w:rPr>
          <w:sz w:val="18"/>
        </w:rPr>
        <w:t xml:space="preserve">[7] </w:t>
      </w:r>
      <w:r>
        <w:rPr>
          <w:sz w:val="18"/>
        </w:rPr>
        <w:t>唐文杰</w:t>
      </w:r>
      <w:r>
        <w:rPr>
          <w:sz w:val="18"/>
        </w:rPr>
        <w:t xml:space="preserve">, </w:t>
      </w:r>
      <w:r>
        <w:rPr>
          <w:sz w:val="18"/>
        </w:rPr>
        <w:t>肖一磊</w:t>
      </w:r>
      <w:r>
        <w:rPr>
          <w:sz w:val="18"/>
        </w:rPr>
        <w:t xml:space="preserve">, </w:t>
      </w:r>
      <w:r>
        <w:rPr>
          <w:sz w:val="18"/>
        </w:rPr>
        <w:t>孔祥宇</w:t>
      </w:r>
      <w:r>
        <w:rPr>
          <w:sz w:val="18"/>
        </w:rPr>
        <w:t xml:space="preserve">, </w:t>
      </w:r>
      <w:r>
        <w:rPr>
          <w:sz w:val="18"/>
        </w:rPr>
        <w:t>等</w:t>
      </w:r>
      <w:r>
        <w:rPr>
          <w:sz w:val="18"/>
        </w:rPr>
        <w:t>. CycleLLH</w:t>
      </w:r>
      <w:r>
        <w:rPr>
          <w:sz w:val="18"/>
        </w:rPr>
        <w:t>：一种基于周期性整合的新型网络流量预测模型</w:t>
      </w:r>
      <w:r>
        <w:rPr>
          <w:sz w:val="18"/>
        </w:rPr>
        <w:t xml:space="preserve">[J]. </w:t>
      </w:r>
      <w:r>
        <w:rPr>
          <w:sz w:val="18"/>
        </w:rPr>
        <w:t>计算机学报</w:t>
      </w:r>
      <w:r>
        <w:rPr>
          <w:sz w:val="18"/>
        </w:rPr>
        <w:t>, 2024, 47(12): 2867-2888. DOI: 10.11897/SP.J.1016.2024.02867.</w:t>
      </w:r>
    </w:p>
    <w:p w14:paraId="32B65309" w14:textId="77777777" w:rsidR="00B14FA3" w:rsidRPr="00B14FA3" w:rsidRDefault="00B14FA3" w:rsidP="00B14FA3">
      <w:pPr>
        <w:ind w:left="420" w:hanging="420"/>
      </w:pPr>
      <w:r>
        <w:rPr>
          <w:sz w:val="18"/>
        </w:rPr>
        <w:t>[8] ZHANG T, ZHANG Y, CAO W, et al. Less is more: fast multivariate time series forecasting with light sampling-oriented MLP structures[EB/OL]. (2022-07-04)[2026-09-20]. https://arxiv.org/abs/2207.01186. DOI: 10.48550/arXiv.2207.01186.</w:t>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