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02ymhshm3ie" w:id="0"/>
      <w:bookmarkEnd w:id="0"/>
      <w:r w:rsidDel="00000000" w:rsidR="00000000" w:rsidRPr="00000000">
        <w:rPr>
          <w:rtl w:val="0"/>
        </w:rPr>
        <w:t xml:space="preserve">Roteiro Aula JavaCC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plugin no Eclipse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Referência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 / Install New Software / Add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29000" cy="276408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64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novo projeto Java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arquivo JavaCC chamado Parser1 (sem pacote)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Clicar com botão direito em “src” / New / Other / JavaCC / JavaCC Template File </w:t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62250" cy="250564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05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Substituir todas as ocorrências de “&lt;?parser_name?&gt;” por “Parser1”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78000" cy="227670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2276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Compilar o parser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Clicar com botão direito no arquivo Parser1.jj e clicar (bem no final) em “Compile with JavaCC)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5581" cy="1800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581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Executar o parser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Clicar com botão direito em Parser1.java e escolher “Run as Java Application”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98180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81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integrar o parser em outro projeto, ver item 4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nesta referência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Altere a gramática para que o parser interprete exponenciação na forma 2 ^ 3.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hyperlink" Target="http://homepages.gac.edu/~hvidsten/courses/MC270/Labs/project4-GacApplication/project-files/JavaCC/JavaCC-Eclipse.html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eclipse-javacc.sourceforge.net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