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eastAsia="Heiti SC" w:hAnsi="Arial"/>
        </w:rPr>
        <w:t xml:space="preserve">热沉物料流转管理系统</w:t>
      </w:r>
    </w:p>
    <w:p>
      <w:r>
        <w:rPr>
          <w:rFonts w:ascii="Arial" w:eastAsia="Heiti SC" w:hAnsi="Arial"/>
        </w:rPr>
        <w:t xml:space="preserve">用户操作手册</w:t>
      </w:r>
    </w:p>
    <w:p>
      <w:r>
        <w:rPr>
          <w:rFonts w:ascii="Arial" w:eastAsia="Heiti SC" w:hAnsi="Arial"/>
        </w:rPr>
        <w:t xml:space="preserve">版本日期　2026 年 9 月 22 日</w:t>
      </w:r>
    </w:p>
    <w:p>
      <w:r>
        <w:rPr>
          <w:rFonts w:ascii="Arial" w:eastAsia="Heiti SC" w:hAnsi="Arial"/>
        </w:rPr>
        <w:t xml:space="preserve">适用对象　系统管理员、库房及各班组班组长</w:t>
      </w:r>
    </w:p>
    <w:p>
      <w:pPr>
        <w:pStyle w:val="Heading2"/>
      </w:pPr>
      <w:r>
        <w:rPr>
          <w:rFonts w:ascii="Arial" w:eastAsia="Heiti SC" w:hAnsi="Arial"/>
        </w:rPr>
        <w:t xml:space="preserve">这本手册解决什么问题</w:t>
      </w:r>
    </w:p>
    <w:p>
      <w:r>
        <w:rPr>
          <w:rFonts w:ascii="Arial" w:eastAsia="Heiti SC" w:hAnsi="Arial"/>
        </w:rPr>
        <w:t xml:space="preserve">按“物料入账—转出—接收—查询”的实际操作说明当前系统。系统记录料在哪里、从哪里来、转给谁，以及件数、重量和批次，不用于登记工艺路线或生产完成率。</w:t>
      </w:r>
    </w:p>
    <w:p>
      <w:r>
        <w:rPr>
          <w:rFonts w:ascii="Arial" w:eastAsia="Heiti SC" w:hAnsi="Arial"/>
        </w:rPr>
        <w:t xml:space="preserve">截图来自当前本地版本的独立演示库，账号、单位及业务数据均为示例，不代表线上库存。截图中的数值会因操作时点不同而变化。</w:t>
      </w:r>
    </w:p>
    <w:p>
      <w:pPr>
        <w:pStyle w:val="Heading2"/>
      </w:pPr>
      <w:r>
        <w:rPr>
          <w:rFonts w:ascii="Arial" w:eastAsia="Heiti SC" w:hAnsi="Arial"/>
        </w:rPr>
        <w:t xml:space="preserve">先分清三个名称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rPr>
          <w:cantSplit/>
          <w:tblHeader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1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1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流水号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用于识别、查询同一物料资料。按文本录入，000012 不能写成 12。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批次号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标识一次具体入库或转料明细。每一条独立物料明细有自己的批次号和条形码。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转料用途</w:t>
            </w:r>
          </w:p>
        </w:tc>
        <w:tc>
          <w:tcPr>
            <w:tcW w:type="dxa" w:w="8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接收班组要做的业务，例如检验、去毛刺。由接收班组维护，上序开单时选择。</w:t>
            </w:r>
          </w:p>
        </w:tc>
      </w:tr>
    </w:tbl>
    <w:p>
      <w:pPr>
        <w:spacing w:after="60" w:line="80"/>
      </w:pPr>
      <w:r>
        <w:rPr>
          <w:rFonts w:ascii="Arial" w:eastAsia="Heiti SC" w:hAnsi="Arial"/>
        </w:rPr>
        <w:t xml:space="preserve"/>
      </w:r>
    </w:p>
    <w:p>
      <w:pPr>
        <w:pStyle w:val="Heading2"/>
      </w:pPr>
      <w:r>
        <w:rPr>
          <w:rFonts w:ascii="Arial" w:eastAsia="Heiti SC" w:hAnsi="Arial"/>
        </w:rPr>
        <w:t xml:space="preserve">常用操作入口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cantSplit/>
          <w:tblHeader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1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/>
                <w:bCs/>
                <w:sz w:val="21"/>
                <w:szCs w:val="21"/>
              </w:rPr>
              <w:t xml:space="preserve">要做的事</w:t>
            </w:r>
          </w:p>
        </w:tc>
        <w:tc>
          <w:tcPr>
            <w:tcW w:type="dxa" w:w="7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1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/>
                <w:bCs/>
                <w:sz w:val="21"/>
                <w:szCs w:val="21"/>
              </w:rPr>
              <w:t xml:space="preserve">入口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准备账号和授权</w:t>
            </w:r>
          </w:p>
        </w:tc>
        <w:tc>
          <w:tcPr>
            <w:tcW w:type="dxa" w:w="7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系统设置 → 班组长管理／班组管理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录入原有库存</w:t>
            </w:r>
          </w:p>
        </w:tc>
        <w:tc>
          <w:tcPr>
            <w:tcW w:type="dxa" w:w="7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本班组 → 班组设置 → 期初库存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收发物料</w:t>
            </w:r>
          </w:p>
        </w:tc>
        <w:tc>
          <w:tcPr>
            <w:tcW w:type="dxa" w:w="7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本班组 → 新建入库／新建出库／待接收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查库存和历史</w:t>
            </w:r>
          </w:p>
        </w:tc>
        <w:tc>
          <w:tcPr>
            <w:tcW w:type="dxa" w:w="7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本班组 → 库存明细／收发历史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查全厂和全链路</w:t>
            </w:r>
          </w:p>
        </w:tc>
        <w:tc>
          <w:tcPr>
            <w:tcW w:type="dxa" w:w="75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全厂总览；管理员 → 流转查询 → 全链路追踪</w:t>
            </w:r>
          </w:p>
        </w:tc>
      </w:tr>
    </w:tbl>
    <w:p>
      <w:pPr>
        <w:spacing w:after="60" w:line="80"/>
      </w:pPr>
      <w:r>
        <w:rPr>
          <w:rFonts w:ascii="Arial" w:eastAsia="Heiti SC" w:hAnsi="Arial"/>
        </w:rPr>
        <w:t xml:space="preserve"/>
      </w:r>
    </w:p>
    <w:p>
      <w:pPr>
        <w:pStyle w:val="Heading1"/>
        <w:pageBreakBefore/>
      </w:pPr>
      <w:r>
        <w:rPr>
          <w:rFonts w:ascii="Arial" w:eastAsia="Heiti SC" w:hAnsi="Arial"/>
        </w:rPr>
        <w:t xml:space="preserve">登录与操作权限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eastAsia="Heiti SC" w:hAnsi="Arial"/>
        </w:rPr>
        <w:t xml:space="preserve">打开管理员提供的系统网址。出现访问锁时，点击锁并输入访问口令。访问口令与账号密码是两回事。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eastAsia="Heiti SC" w:hAnsi="Arial"/>
        </w:rPr>
        <w:t xml:space="preserve">在登录页输入分配给自己的账号、密码，点击“登录”。忘记密码时联系系统管理员，不要反复创建新账号。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eastAsia="Heiti SC" w:hAnsi="Arial"/>
        </w:rPr>
        <w:t xml:space="preserve">登录后核对右上角姓名及所属班组。收发操作必须使用绑定该班组的有效班组账号。</w:t>
      </w:r>
    </w:p>
    <w:p>
      <w:pPr>
        <w:keepNext/>
        <w:spacing w:after="70" w:before="100"/>
        <w:jc w:val="center"/>
      </w:pPr>
      <w:r>
        <w:drawing>
          <wp:inline distT="0" distB="0" distL="0" distR="0">
            <wp:extent cx="4867275" cy="3381375"/>
            <wp:effectExtent t="0" r="0" b="0" l="0"/>
            <wp:docPr id="1" name="图 1　登录页，背景与官方标识保留，账号由管理员分配" descr="本地演示环境真实界面截图。登录页，背景与官方标识保留，账号由管理员分配" title="登录页，背景与官方标识保留，账号由管理员分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Heiti SC" w:hAnsi="Arial"/>
          <w:color w:val="555555"/>
          <w:sz w:val="19"/>
          <w:szCs w:val="19"/>
        </w:rPr>
        <w:t xml:space="preserve">图 1　登录页，背景与官方标识保留，账号由管理员分配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1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8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1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/>
                <w:bCs/>
                <w:sz w:val="21"/>
                <w:szCs w:val="21"/>
              </w:rPr>
              <w:t xml:space="preserve">可以操作的范围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系统管理员</w:t>
            </w:r>
          </w:p>
        </w:tc>
        <w:tc>
          <w:tcPr>
            <w:tcW w:type="dxa" w:w="8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维护班组与班组长、授权期初录入、标记流水号加急、查看全链路及对接配置；不代替班组收发。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班组长</w:t>
            </w:r>
          </w:p>
        </w:tc>
        <w:tc>
          <w:tcPr>
            <w:tcW w:type="dxa" w:w="8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维护本班组用途，在权限允许时录入期初库存；办理本班组出库、接收、丢失登记。</w:t>
            </w:r>
          </w:p>
        </w:tc>
      </w:tr>
    </w:tbl>
    <w:p>
      <w:pPr>
        <w:spacing w:after="60" w:line="80"/>
      </w:pPr>
      <w:r>
        <w:rPr>
          <w:rFonts w:ascii="Arial" w:eastAsia="Heiti SC" w:hAnsi="Arial"/>
        </w:rPr>
        <w:t xml:space="preserve"/>
      </w:r>
    </w:p>
    <w:p>
      <w:r>
        <w:rPr>
          <w:rFonts w:ascii="Arial" w:eastAsia="Heiti SC" w:hAnsi="Arial"/>
        </w:rPr>
        <w:t xml:space="preserve">若看到“仅查看”或没有“新建出库”，先检查账号是否属于该班组，再检查账号与班组是否启用。退出登录使用右上角账户菜单。</w:t>
      </w:r>
    </w:p>
    <w:p>
      <w:pPr>
        <w:pStyle w:val="Heading1"/>
        <w:pageBreakBefore/>
      </w:pPr>
      <w:r>
        <w:rPr>
          <w:rFonts w:ascii="Arial" w:eastAsia="Heiti SC" w:hAnsi="Arial"/>
        </w:rPr>
        <w:t xml:space="preserve">管理员准备与班组用途</w:t>
      </w:r>
    </w:p>
    <w:p>
      <w:r>
        <w:rPr>
          <w:rFonts w:ascii="Arial" w:eastAsia="Heiti SC" w:hAnsi="Arial"/>
        </w:rPr>
        <w:t xml:space="preserve">正式班组共 8 个：库房、轧制、退火、研磨、线切割、雕刻、电镀、检验。发货和去毛刺属于检验业务；废料由库房分类管理，不另设“转废班组”。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eastAsia="Heiti SC" w:hAnsi="Arial"/>
        </w:rPr>
        <w:t xml:space="preserve">系统管理员进入“系统设置 → 班组长管理”，新增或编辑班组长，填写账号、姓名、密码并绑定所属班组。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eastAsia="Heiti SC" w:hAnsi="Arial"/>
        </w:rPr>
        <w:t xml:space="preserve">启用账号后，将登录信息单独告知对应班组长。重置密码时填写新密码；编辑时密码留空表示不修改。</w:t>
      </w:r>
    </w:p>
    <w:p>
      <w:pPr>
        <w:keepNext/>
        <w:spacing w:after="70" w:before="100"/>
        <w:jc w:val="center"/>
      </w:pPr>
      <w:r>
        <w:drawing>
          <wp:inline distT="0" distB="0" distL="0" distR="0">
            <wp:extent cx="3924300" cy="3333750"/>
            <wp:effectExtent t="0" r="0" b="0" l="0"/>
            <wp:docPr id="1" name="图 2　班组长账号与所属班组绑定" descr="本地演示环境真实界面截图。班组长账号与所属班组绑定" title="班组长账号与所属班组绑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Heiti SC" w:hAnsi="Arial"/>
          <w:color w:val="555555"/>
          <w:sz w:val="19"/>
          <w:szCs w:val="19"/>
        </w:rPr>
        <w:t xml:space="preserve">图 2　班组长账号与所属班组绑定</w:t>
      </w:r>
    </w:p>
    <w:p>
      <w:pPr>
        <w:pStyle w:val="Heading2"/>
      </w:pPr>
      <w:r>
        <w:rPr>
          <w:rFonts w:ascii="Arial" w:eastAsia="Heiti SC" w:hAnsi="Arial"/>
        </w:rPr>
        <w:t xml:space="preserve">用途由接收班组维护</w:t>
      </w:r>
    </w:p>
    <w:p>
      <w:r>
        <w:rPr>
          <w:rFonts w:ascii="Arial" w:eastAsia="Heiti SC" w:hAnsi="Arial"/>
        </w:rPr>
        <w:t xml:space="preserve">班组长进入“本班组 → 班组设置 → 转料用途”，新增用途，或修改名称、启用状态后保存。例如检验班组配置“检验、去毛刺、发货”，电镀向检验转料时，由电镀选择本次用途。</w:t>
      </w:r>
    </w:p>
    <w:p>
      <w:r>
        <w:rPr>
          <w:rFonts w:ascii="Arial" w:eastAsia="Heiti SC" w:hAnsi="Arial"/>
        </w:rPr>
        <w:t xml:space="preserve">改名或停用不会改写历史单据。已配置用途的班组，新单需选择启用的用途；尚未配置时，新单暂归“未分类”。用途不是开工、完工或检验合格状态。</w:t>
      </w:r>
    </w:p>
    <w:p>
      <w:pPr>
        <w:pStyle w:val="Heading1"/>
        <w:pageBreakBefore/>
      </w:pPr>
      <w:r>
        <w:rPr>
          <w:rFonts w:ascii="Arial" w:eastAsia="Heiti SC" w:hAnsi="Arial"/>
        </w:rPr>
        <w:t xml:space="preserve">首次启用时录入期初库存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eastAsia="Heiti SC" w:hAnsi="Arial"/>
        </w:rPr>
        <w:t xml:space="preserve">管理员进入“系统设置 → 班组管理”，点击对应班组的“期初授权”，开启“允许录入期初库存”并保存。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eastAsia="Heiti SC" w:hAnsi="Arial"/>
        </w:rPr>
        <w:t xml:space="preserve">班组长进入“班组设置 → 期初库存”。按盘点结果逐行填写流水号、材质、物料类型、件数、重量，可补规格、用途和备注。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eastAsia="Heiti SC" w:hAnsi="Arial"/>
        </w:rPr>
        <w:t xml:space="preserve">多种物料点击“增加物料”。未核对完可“保存本机草稿”；草稿只在当前浏览器，不计入库存。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eastAsia="Heiti SC" w:hAnsi="Arial"/>
        </w:rPr>
        <w:t xml:space="preserve">核对所有行后点击“确认期初入账”，再次确认。每行生成独立批次，立即进入本班组库存，不产生下序待接收。</w:t>
      </w:r>
    </w:p>
    <w:p>
      <w:pPr>
        <w:keepNext/>
        <w:spacing w:after="70" w:before="100"/>
        <w:jc w:val="center"/>
      </w:pPr>
      <w:r>
        <w:drawing>
          <wp:inline distT="0" distB="0" distL="0" distR="0">
            <wp:extent cx="6381750" cy="2971800"/>
            <wp:effectExtent t="0" r="0" b="0" l="0"/>
            <wp:docPr id="1" name="图 3　期初库存录入示例，截图内容尚未提交" descr="本地演示环境真实界面截图。期初库存录入示例，截图内容尚未提交" title="期初库存录入示例，截图内容尚未提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Heiti SC" w:hAnsi="Arial"/>
          <w:color w:val="555555"/>
          <w:sz w:val="19"/>
          <w:szCs w:val="19"/>
        </w:rPr>
        <w:t xml:space="preserve">图 3　期初库存录入示例，截图内容尚未提交</w:t>
      </w:r>
    </w:p>
    <w:p>
      <w:pPr>
        <w:pStyle w:val="Heading2"/>
      </w:pPr>
      <w:r>
        <w:rPr>
          <w:rFonts w:ascii="Arial" w:eastAsia="Heiti SC" w:hAnsi="Arial"/>
        </w:rPr>
        <w:t xml:space="preserve">只能初始化一次</w:t>
      </w:r>
    </w:p>
    <w:p>
      <w:r>
        <w:rPr>
          <w:rFonts w:ascii="Arial" w:eastAsia="Heiti SC" w:hAnsi="Arial"/>
        </w:rPr>
        <w:t xml:space="preserve">提交成功后授权自动关闭。有正式入账历史的班组不能重复初始化，即使库存已清零也不能重新录入期初。该功能不清空、不覆盖现有库存。</w:t>
      </w:r>
    </w:p>
    <w:p>
      <w:r>
        <w:rPr>
          <w:rFonts w:ascii="Arial" w:eastAsia="Heiti SC" w:hAnsi="Arial"/>
        </w:rPr>
        <w:t xml:space="preserve">件数填写非负整数，重量以 kg 计、最多 3 位小数。废屑等可填 0 件和实际重量，但件数、重量不能同时为 0。</w:t>
      </w:r>
    </w:p>
    <w:p>
      <w:pPr>
        <w:pStyle w:val="Heading1"/>
        <w:pageBreakBefore/>
      </w:pPr>
      <w:r>
        <w:rPr>
          <w:rFonts w:ascii="Arial" w:eastAsia="Heiti SC" w:hAnsi="Arial"/>
        </w:rPr>
        <w:t xml:space="preserve">库存明细与查找物料</w:t>
      </w:r>
    </w:p>
    <w:p>
      <w:r>
        <w:rPr>
          <w:rFonts w:ascii="Arial" w:eastAsia="Heiti SC" w:hAnsi="Arial"/>
        </w:rPr>
        <w:t xml:space="preserve">库存明细按流水号、材质、规格、类型和来源归类。同一流水号出现多行，通常是类型或来源不同，不表示重复入账。批次放在每行“明细”里查看。</w:t>
      </w:r>
    </w:p>
    <w:p>
      <w:pPr>
        <w:keepNext/>
        <w:spacing w:after="70" w:before="100"/>
        <w:jc w:val="center"/>
      </w:pPr>
      <w:r>
        <w:drawing>
          <wp:inline distT="0" distB="0" distL="0" distR="0">
            <wp:extent cx="5286375" cy="3381375"/>
            <wp:effectExtent t="0" r="0" b="0" l="0"/>
            <wp:docPr id="1" name="图 4　库房按来源及类型区分同一流水号的物料" descr="本地演示环境真实界面截图。库房按来源及类型区分同一流水号的物料" title="库房按来源及类型区分同一流水号的物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Heiti SC" w:hAnsi="Arial"/>
          <w:color w:val="555555"/>
          <w:sz w:val="19"/>
          <w:szCs w:val="19"/>
        </w:rPr>
        <w:t xml:space="preserve">图 4　库房按来源及类型区分同一流水号的物料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Arial" w:eastAsia="Heiti SC" w:hAnsi="Arial"/>
        </w:rPr>
        <w:t xml:space="preserve">在搜索框左侧选择字段，输入关键字并点击“查询”。文字按包含匹配查找；选择数值字段时，可按页面使用等于、大于等于、小于等于条件。完整流水号历史查询则是精确匹配。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Arial" w:eastAsia="Heiti SC" w:hAnsi="Arial"/>
        </w:rPr>
        <w:t xml:space="preserve">库房可叠加“来源”和“物料类型”。点击日期卡片选择某天或日期区间，再确认筛选。库存页的日期用于筛选相关流转，不是历史时点库存快照。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Arial" w:eastAsia="Heiti SC" w:hAnsi="Arial"/>
        </w:rPr>
        <w:t xml:space="preserve">点击“显示列”勾选、排序一级字段并“应用”。批次号等来源明细不属于这一层的自选列。选择具体搜索字段时，该字段可临时显示在前列。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Arial" w:eastAsia="Heiti SC" w:hAnsi="Arial"/>
        </w:rPr>
        <w:t xml:space="preserve">点击行内“明细”看来源批次及余量；点击流水号看本班组收发历史。默认每页 10 条，可选 20、50、100 条并向下滚动。</w:t>
      </w:r>
    </w:p>
    <w:p>
      <w:r>
        <w:rPr>
          <w:rFonts w:ascii="Arial" w:eastAsia="Heiti SC" w:hAnsi="Arial"/>
        </w:rPr>
        <w:t xml:space="preserve">管理员可在流水号处标记或取消加急并填写原因。班组可以查看加急提示，但不能代替管理员修改。加急不会改变库存、单据状态或自动替班组出库。</w:t>
      </w:r>
    </w:p>
    <w:p>
      <w:pPr>
        <w:pStyle w:val="Heading1"/>
        <w:pageBreakBefore/>
      </w:pPr>
      <w:r>
        <w:rPr>
          <w:rFonts w:ascii="Arial" w:eastAsia="Heiti SC" w:hAnsi="Arial"/>
        </w:rPr>
        <w:t xml:space="preserve">库房接收外部来料与退回料</w:t>
      </w:r>
    </w:p>
    <w:p>
      <w:r>
        <w:rPr>
          <w:rFonts w:ascii="Arial" w:eastAsia="Heiti SC" w:hAnsi="Arial"/>
        </w:rPr>
        <w:t xml:space="preserve">适用账号：库房班组长。入口：“库房 → 新建入库”。车间内部转回库房的料，走“待接收”，不要再手工入库一次。</w:t>
      </w:r>
    </w:p>
    <w:p>
      <w:pPr>
        <w:keepNext/>
        <w:spacing w:after="70" w:before="100"/>
        <w:jc w:val="center"/>
      </w:pPr>
      <w:r>
        <w:drawing>
          <wp:inline distT="0" distB="0" distL="0" distR="0">
            <wp:extent cx="4591050" cy="4810125"/>
            <wp:effectExtent t="0" r="0" b="0" l="0"/>
            <wp:docPr id="1" name="图 5　外部来料手工入库，示例填写未提交" descr="本地演示环境真实界面截图。外部来料手工入库，示例填写未提交" title="外部来料手工入库，示例填写未提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Heiti SC" w:hAnsi="Arial"/>
          <w:color w:val="555555"/>
          <w:sz w:val="19"/>
          <w:szCs w:val="19"/>
        </w:rPr>
        <w:t xml:space="preserve">图 5　外部来料手工入库，示例填写未提交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eastAsia="Heiti SC" w:hAnsi="Arial"/>
        </w:rPr>
        <w:t xml:space="preserve">选择“外部来料”或“外部退回”，填写实际来源单位、流水号、材质、物料类型、件数、重量及入库说明。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eastAsia="Heiti SC" w:hAnsi="Arial"/>
        </w:rPr>
        <w:t xml:space="preserve">外部退回沿用原流水号，可填写已确认的原出库批次号。不要为方便统计把退回料改成新流水号。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eastAsia="Heiti SC" w:hAnsi="Arial"/>
        </w:rPr>
        <w:t xml:space="preserve">需要时在“物料明细与补充信息”填写客户资料。核对后“确认入库”，立即计入库房库存，单据锁定。</w:t>
      </w:r>
    </w:p>
    <w:p>
      <w:pPr>
        <w:pStyle w:val="Heading1"/>
        <w:pageBreakBefore/>
      </w:pPr>
      <w:r>
        <w:rPr>
          <w:rFonts w:ascii="Arial" w:eastAsia="Heiti SC" w:hAnsi="Arial"/>
        </w:rPr>
        <w:t xml:space="preserve">内部转料与批量出库</w:t>
      </w:r>
    </w:p>
    <w:p>
      <w:r>
        <w:rPr>
          <w:rFonts w:ascii="Arial" w:eastAsia="Heiti SC" w:hAnsi="Arial"/>
        </w:rPr>
        <w:t xml:space="preserve">适用账号：转出班组班组长。入口：本班组右上角“新建出库”，或库存明细行内“出库”。行内出库只选该归类中的物料。</w:t>
      </w:r>
    </w:p>
    <w:p>
      <w:pPr>
        <w:keepNext/>
        <w:spacing w:after="70" w:before="100"/>
        <w:jc w:val="center"/>
      </w:pPr>
      <w:r>
        <w:drawing>
          <wp:inline distT="0" distB="0" distL="0" distR="0">
            <wp:extent cx="4476750" cy="3381375"/>
            <wp:effectExtent t="0" r="0" b="0" l="0"/>
            <wp:docPr id="1" name="图 6　选择多个来源批次，下一步统一指定接收班组" descr="本地演示环境真实界面截图。选择多个来源批次，下一步统一指定接收班组" title="选择多个来源批次，下一步统一指定接收班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Heiti SC" w:hAnsi="Arial"/>
          <w:color w:val="555555"/>
          <w:sz w:val="19"/>
          <w:szCs w:val="19"/>
        </w:rPr>
        <w:t xml:space="preserve">图 6　选择多个来源批次，下一步统一指定接收班组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Arial" w:eastAsia="Heiti SC" w:hAnsi="Arial"/>
        </w:rPr>
        <w:t xml:space="preserve">在选料窗口勾选需要转出的来源批次，点击“下一步：填写出库”。批量操作一次只指定一个接收班组。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Arial" w:eastAsia="Heiti SC" w:hAnsi="Arial"/>
        </w:rPr>
        <w:t xml:space="preserve">选择“内部转料”和接收班组；逐行填写本次件数、重量、出库物料类型，以及下序转料用途。不要把原有库存全部误当成本次转出量。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Arial" w:eastAsia="Heiti SC" w:hAnsi="Arial"/>
        </w:rPr>
        <w:t xml:space="preserve">同一来源需分成不同类型或用途时，点击“拆分物料”。各行合计不得超过该来源可用余量。转入库房时尤其要分清成品、半成品及废料等类型。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Arial" w:eastAsia="Heiti SC" w:hAnsi="Arial"/>
        </w:rPr>
        <w:t xml:space="preserve">确认出库。系统立即扣减上序库存，生成各行独立批次；下序出现待接收，可在完成后合并打印。</w:t>
      </w:r>
    </w:p>
    <w:p>
      <w:r>
        <w:rPr>
          <w:rFonts w:ascii="Arial" w:eastAsia="Heiti SC" w:hAnsi="Arial"/>
        </w:rPr>
        <w:t xml:space="preserve">示例：流水号 000012 转出 10 件／1 kg，000013 也转出 10 件／1 kg。一次提交生成两个批次、两个条码，可以印在同一张纸上，但仍分别接收。</w:t>
      </w:r>
    </w:p>
    <w:p>
      <w:r>
        <w:rPr>
          <w:rFonts w:ascii="Arial" w:eastAsia="Heiti SC" w:hAnsi="Arial"/>
        </w:rPr>
        <w:t xml:space="preserve">废品、废料、废泥、废屑等按实际性质选择并说明原因。废料类内部转入库房管理，不能通过改类型重新变成正常物料。</w:t>
      </w:r>
    </w:p>
    <w:p>
      <w:pPr>
        <w:pStyle w:val="Heading1"/>
        <w:pageBreakBefore/>
      </w:pPr>
      <w:r>
        <w:rPr>
          <w:rFonts w:ascii="Arial" w:eastAsia="Heiti SC" w:hAnsi="Arial"/>
        </w:rPr>
        <w:t xml:space="preserve">下序核对与确认接收</w:t>
      </w:r>
    </w:p>
    <w:p>
      <w:r>
        <w:rPr>
          <w:rFonts w:ascii="Arial" w:eastAsia="Heiti SC" w:hAnsi="Arial"/>
        </w:rPr>
        <w:t xml:space="preserve">入口：接收班组工作台 → 待接收 → 核对接收。也可扫描该批次条形码打开详情。接收方只核对确认，不重填上序的数量和重量。</w:t>
      </w:r>
    </w:p>
    <w:p>
      <w:pPr>
        <w:keepNext/>
        <w:spacing w:after="70" w:before="100"/>
        <w:jc w:val="center"/>
      </w:pPr>
      <w:r>
        <w:drawing>
          <wp:inline distT="0" distB="0" distL="0" distR="0">
            <wp:extent cx="4752975" cy="4953000"/>
            <wp:effectExtent t="0" r="0" b="0" l="0"/>
            <wp:docPr id="1" name="图 7　单批转料详情与确认接收按钮" descr="本地演示环境真实界面截图。单批转料详情与确认接收按钮" title="单批转料详情与确认接收按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Heiti SC" w:hAnsi="Arial"/>
          <w:color w:val="555555"/>
          <w:sz w:val="19"/>
          <w:szCs w:val="19"/>
        </w:rPr>
        <w:t xml:space="preserve">图 7　单批转料详情与确认接收按钮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Arial" w:eastAsia="Heiti SC" w:hAnsi="Arial"/>
        </w:rPr>
        <w:t xml:space="preserve">对照实物核对上下序、流水号、类型、用途、件数及重量，确认没有错料、少料。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Arial" w:eastAsia="Heiti SC" w:hAnsi="Arial"/>
        </w:rPr>
        <w:t xml:space="preserve">点击“确认接收”，在二次确认框确认。物料进入本班组库存，上序单据锁定，不能再编辑。</w:t>
      </w:r>
    </w:p>
    <w:p>
      <w:r>
        <w:rPr>
          <w:rFonts w:ascii="Arial" w:eastAsia="Heiti SC" w:hAnsi="Arial"/>
        </w:rPr>
        <w:t xml:space="preserve">数量不符时先停止接收并联系上序修改。库房可用“退回核对”填写原因；这不是退库或作废，物料仍在途，不会自动恢复上序库存。</w:t>
      </w:r>
    </w:p>
    <w:p>
      <w:pPr>
        <w:pStyle w:val="Heading1"/>
        <w:pageBreakBefore/>
      </w:pPr>
      <w:r>
        <w:rPr>
          <w:rFonts w:ascii="Arial" w:eastAsia="Heiti SC" w:hAnsi="Arial"/>
        </w:rPr>
        <w:t xml:space="preserve">对外出库与检验发货</w:t>
      </w:r>
    </w:p>
    <w:p>
      <w:pPr>
        <w:pStyle w:val="Heading2"/>
      </w:pPr>
      <w:r>
        <w:rPr>
          <w:rFonts w:ascii="Arial" w:eastAsia="Heiti SC" w:hAnsi="Arial"/>
        </w:rPr>
        <w:t xml:space="preserve">库房对外出库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rFonts w:ascii="Arial" w:eastAsia="Heiti SC" w:hAnsi="Arial"/>
        </w:rPr>
        <w:t xml:space="preserve">库房点击“新建出库”，选择有余量的来源批次。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rFonts w:ascii="Arial" w:eastAsia="Heiti SC" w:hAnsi="Arial"/>
        </w:rPr>
        <w:t xml:space="preserve">在“出库方式”选择“对外出库”，填写外部去向、本次件数、重量和必要说明，不选择车间接收班组。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rFonts w:ascii="Arial" w:eastAsia="Heiti SC" w:hAnsi="Arial"/>
        </w:rPr>
        <w:t xml:space="preserve">提交后库存立即扣减。实际出库完成后，库房在“出库记录”打开该批次，点击“确认出库”并确认。</w:t>
      </w:r>
    </w:p>
    <w:p>
      <w:pPr>
        <w:pStyle w:val="Heading2"/>
      </w:pPr>
      <w:r>
        <w:rPr>
          <w:rFonts w:ascii="Arial" w:eastAsia="Heiti SC" w:hAnsi="Arial"/>
        </w:rPr>
        <w:t xml:space="preserve">检验班组发货</w:t>
      </w:r>
    </w:p>
    <w:p>
      <w:r>
        <w:rPr>
          <w:rFonts w:ascii="Arial" w:eastAsia="Heiti SC" w:hAnsi="Arial"/>
        </w:rPr>
        <w:t xml:space="preserve">检验账号在“新建出库”中选择“发货”，填写发货去向及各批数量、重量。提交后先扣库存，再由检验在本班组出库记录中“确认发货”。其他班组不能代替确认。</w:t>
      </w:r>
    </w:p>
    <w:p>
      <w:r>
        <w:rPr>
          <w:rFonts w:ascii="Arial" w:eastAsia="Heiti SC" w:hAnsi="Arial"/>
        </w:rPr>
        <w:t xml:space="preserve">向车间其他班组转料仍选择“内部转料”。选择“发货”用途并不等于已经对外发货；实际对外发货必须按发货出库办理。</w:t>
      </w:r>
    </w:p>
    <w:p>
      <w:pPr>
        <w:pStyle w:val="Heading2"/>
      </w:pPr>
      <w:r>
        <w:rPr>
          <w:rFonts w:ascii="Arial" w:eastAsia="Heiti SC" w:hAnsi="Arial"/>
        </w:rPr>
        <w:t xml:space="preserve">各状态如何影响库存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50"/>
        <w:gridCol w:w="4030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1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/>
                <w:bCs/>
                <w:sz w:val="21"/>
                <w:szCs w:val="21"/>
              </w:rPr>
              <w:t xml:space="preserve">动作</w:t>
            </w:r>
          </w:p>
        </w:tc>
        <w:tc>
          <w:tcPr>
            <w:tcW w:type="dxa" w:w="2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1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/>
                <w:bCs/>
                <w:sz w:val="21"/>
                <w:szCs w:val="21"/>
              </w:rPr>
              <w:t xml:space="preserve">转出班组</w:t>
            </w:r>
          </w:p>
        </w:tc>
        <w:tc>
          <w:tcPr>
            <w:tcW w:type="dxa" w:w="4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1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/>
                <w:bCs/>
                <w:sz w:val="21"/>
                <w:szCs w:val="21"/>
              </w:rPr>
              <w:t xml:space="preserve">接收班组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提交内部转料</w:t>
            </w:r>
          </w:p>
        </w:tc>
        <w:tc>
          <w:tcPr>
            <w:tcW w:type="dxa" w:w="2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立即减少</w:t>
            </w:r>
          </w:p>
        </w:tc>
        <w:tc>
          <w:tcPr>
            <w:tcW w:type="dxa" w:w="4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尚不增加，列入待接收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下序确认接收</w:t>
            </w:r>
          </w:p>
        </w:tc>
        <w:tc>
          <w:tcPr>
            <w:tcW w:type="dxa" w:w="2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不重复扣减</w:t>
            </w:r>
          </w:p>
        </w:tc>
        <w:tc>
          <w:tcPr>
            <w:tcW w:type="dxa" w:w="4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增加并锁定该单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上序作废未接收批次</w:t>
            </w:r>
          </w:p>
        </w:tc>
        <w:tc>
          <w:tcPr>
            <w:tcW w:type="dxa" w:w="2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恢复该批扣减量</w:t>
            </w:r>
          </w:p>
        </w:tc>
        <w:tc>
          <w:tcPr>
            <w:tcW w:type="dxa" w:w="4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移除待接收，不增加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提交对外出库／发货</w:t>
            </w:r>
          </w:p>
        </w:tc>
        <w:tc>
          <w:tcPr>
            <w:tcW w:type="dxa" w:w="2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立即减少</w:t>
            </w:r>
          </w:p>
        </w:tc>
        <w:tc>
          <w:tcPr>
            <w:tcW w:type="dxa" w:w="4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无内部接收班组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自行确认对外出库／发货</w:t>
            </w:r>
          </w:p>
        </w:tc>
        <w:tc>
          <w:tcPr>
            <w:tcW w:type="dxa" w:w="2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只锁定单据，不再扣减</w:t>
            </w:r>
          </w:p>
        </w:tc>
        <w:tc>
          <w:tcPr>
            <w:tcW w:type="dxa" w:w="4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无内部入库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登记丢失</w:t>
            </w:r>
          </w:p>
        </w:tc>
        <w:tc>
          <w:tcPr>
            <w:tcW w:type="dxa" w:w="2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扣减登记班组的可用余量</w:t>
            </w:r>
          </w:p>
        </w:tc>
        <w:tc>
          <w:tcPr>
            <w:tcW w:type="dxa" w:w="4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不产生待接收</w:t>
            </w:r>
          </w:p>
        </w:tc>
      </w:tr>
    </w:tbl>
    <w:p>
      <w:pPr>
        <w:spacing w:after="60" w:line="80"/>
      </w:pPr>
      <w:r>
        <w:rPr>
          <w:rFonts w:ascii="Arial" w:eastAsia="Heiti SC" w:hAnsi="Arial"/>
        </w:rPr>
        <w:t xml:space="preserve"/>
      </w:r>
    </w:p>
    <w:p>
      <w:r>
        <w:rPr>
          <w:rFonts w:ascii="Arial" w:eastAsia="Heiti SC" w:hAnsi="Arial"/>
        </w:rPr>
        <w:t xml:space="preserve">全厂在库与内部在途分开统计。上序已转出、下序尚未接收的料不属于任一班组当前库存，不能因为库存减少而重复补录入库。</w:t>
      </w:r>
    </w:p>
    <w:p>
      <w:pPr>
        <w:pStyle w:val="Heading1"/>
        <w:pageBreakBefore/>
      </w:pPr>
      <w:r>
        <w:rPr>
          <w:rFonts w:ascii="Arial" w:eastAsia="Heiti SC" w:hAnsi="Arial"/>
        </w:rPr>
        <w:t xml:space="preserve">修改作废与丢失登记</w:t>
      </w:r>
    </w:p>
    <w:p>
      <w:pPr>
        <w:pStyle w:val="Heading2"/>
      </w:pPr>
      <w:r>
        <w:rPr>
          <w:rFonts w:ascii="Arial" w:eastAsia="Heiti SC" w:hAnsi="Arial"/>
        </w:rPr>
        <w:t xml:space="preserve">接收前由上序修改</w:t>
      </w:r>
    </w:p>
    <w:p>
      <w:r>
        <w:rPr>
          <w:rFonts w:ascii="Arial" w:eastAsia="Heiti SC" w:hAnsi="Arial"/>
        </w:rPr>
        <w:t xml:space="preserve">转出账号在“出库记录”中打开尚未确认的批次，使用“编辑”修改或“作废”取消。接收、对外出库确认后内容锁定；不要用新单掩盖原单错误，应联系管理员核对处理。</w:t>
      </w:r>
    </w:p>
    <w:p>
      <w:r>
        <w:rPr>
          <w:rFonts w:ascii="Arial" w:eastAsia="Heiti SC" w:hAnsi="Arial"/>
        </w:rPr>
        <w:t xml:space="preserve">修改后请下序重新核对最新内容。作废不可恢复或接收；若仍需转料，重新开单。合并打印的批次也分别管理，不能把纸张当作一个整体批次。</w:t>
      </w:r>
    </w:p>
    <w:p>
      <w:pPr>
        <w:pStyle w:val="Heading2"/>
      </w:pPr>
      <w:r>
        <w:rPr>
          <w:rFonts w:ascii="Arial" w:eastAsia="Heiti SC" w:hAnsi="Arial"/>
        </w:rPr>
        <w:t xml:space="preserve">登记本班组实际丢失</w:t>
      </w:r>
    </w:p>
    <w:p>
      <w:pPr>
        <w:pStyle w:val="ListParagraph"/>
        <w:numPr>
          <w:ilvl w:val="0"/>
          <w:numId w:val="10"/>
        </w:numPr>
        <w:spacing w:after="100" w:line="300"/>
      </w:pPr>
      <w:r>
        <w:rPr>
          <w:rFonts w:ascii="Arial" w:eastAsia="Heiti SC" w:hAnsi="Arial"/>
        </w:rPr>
        <w:t xml:space="preserve">库存明细 → 对应行“明细” → 具体来源批次“登记丢失”。</w:t>
      </w:r>
    </w:p>
    <w:p>
      <w:pPr>
        <w:pStyle w:val="ListParagraph"/>
        <w:numPr>
          <w:ilvl w:val="0"/>
          <w:numId w:val="10"/>
        </w:numPr>
        <w:spacing w:after="100" w:line="300"/>
      </w:pPr>
      <w:r>
        <w:rPr>
          <w:rFonts w:ascii="Arial" w:eastAsia="Heiti SC" w:hAnsi="Arial"/>
        </w:rPr>
        <w:t xml:space="preserve">填写实际丢失件数、重量和原因，确认登记。不能超过该来源余量，提交后扣减本班组库存。</w:t>
      </w:r>
    </w:p>
    <w:p>
      <w:pPr>
        <w:pStyle w:val="ListParagraph"/>
        <w:numPr>
          <w:ilvl w:val="0"/>
          <w:numId w:val="10"/>
        </w:numPr>
        <w:spacing w:after="100" w:line="300"/>
      </w:pPr>
      <w:r>
        <w:rPr>
          <w:rFonts w:ascii="Arial" w:eastAsia="Heiti SC" w:hAnsi="Arial"/>
        </w:rPr>
        <w:t xml:space="preserve">在“丢失记录”中查看记录人、时间、数量和原因，也可从来源批次追查。</w:t>
      </w:r>
    </w:p>
    <w:p>
      <w:pPr>
        <w:keepNext/>
        <w:spacing w:after="70" w:before="100"/>
        <w:jc w:val="center"/>
      </w:pPr>
      <w:r>
        <w:drawing>
          <wp:inline distT="0" distB="0" distL="0" distR="0">
            <wp:extent cx="4619625" cy="3000375"/>
            <wp:effectExtent t="0" r="0" b="0" l="0"/>
            <wp:docPr id="1" name="图 8　丢失登记必须关联具体来源批次" descr="本地演示环境真实界面截图。丢失登记必须关联具体来源批次" title="丢失登记必须关联具体来源批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Heiti SC" w:hAnsi="Arial"/>
          <w:color w:val="555555"/>
          <w:sz w:val="19"/>
          <w:szCs w:val="19"/>
        </w:rPr>
        <w:t xml:space="preserve">图 8　丢失登记必须关联具体来源批次</w:t>
      </w:r>
    </w:p>
    <w:p>
      <w:r>
        <w:rPr>
          <w:rFonts w:ascii="Arial" w:eastAsia="Heiti SC" w:hAnsi="Arial"/>
        </w:rPr>
        <w:t xml:space="preserve">废料转交库房属于正常转料，应按废料类型办理出库；它不是“丢失”。只有实物确实丢失时才登记丢失。</w:t>
      </w:r>
    </w:p>
    <w:p>
      <w:pPr>
        <w:pStyle w:val="Heading1"/>
        <w:pageBreakBefore/>
      </w:pPr>
      <w:r>
        <w:rPr>
          <w:rFonts w:ascii="Arial" w:eastAsia="Heiti SC" w:hAnsi="Arial"/>
        </w:rPr>
        <w:t xml:space="preserve">条形码查询与合并打印</w:t>
      </w:r>
    </w:p>
    <w:p>
      <w:pPr>
        <w:pStyle w:val="ListParagraph"/>
        <w:numPr>
          <w:ilvl w:val="0"/>
          <w:numId w:val="11"/>
        </w:numPr>
        <w:spacing w:after="100" w:line="300"/>
      </w:pPr>
      <w:r>
        <w:rPr>
          <w:rFonts w:ascii="Arial" w:eastAsia="Heiti SC" w:hAnsi="Arial"/>
        </w:rPr>
        <w:t xml:space="preserve">单批详情可点击“打印转料单”；出库记录中勾选多个批次后“合并打印”，新建批量出库后也可进入合并打印预览。</w:t>
      </w:r>
    </w:p>
    <w:p>
      <w:pPr>
        <w:pStyle w:val="ListParagraph"/>
        <w:numPr>
          <w:ilvl w:val="0"/>
          <w:numId w:val="11"/>
        </w:numPr>
        <w:spacing w:after="100" w:line="300"/>
      </w:pPr>
      <w:r>
        <w:rPr>
          <w:rFonts w:ascii="Arial" w:eastAsia="Heiti SC" w:hAnsi="Arial"/>
        </w:rPr>
        <w:t xml:space="preserve">核对预览中的批次、流水号、材质、类型、上下序、件数及重量。每批一个条码，不会另生成一个整张纸共用的号。</w:t>
      </w:r>
    </w:p>
    <w:p>
      <w:pPr>
        <w:pStyle w:val="ListParagraph"/>
        <w:numPr>
          <w:ilvl w:val="0"/>
          <w:numId w:val="11"/>
        </w:numPr>
        <w:spacing w:after="100" w:line="300"/>
      </w:pPr>
      <w:r>
        <w:rPr>
          <w:rFonts w:ascii="Arial" w:eastAsia="Heiti SC" w:hAnsi="Arial"/>
        </w:rPr>
        <w:t xml:space="preserve">点击打印，浏览器打印设置使用 A4 纵向，关闭浏览器页眉页脚并先预览。内容较多时允许自动续页，不要为了强塞一页而缩小到无法扫描。</w:t>
      </w:r>
    </w:p>
    <w:p>
      <w:pPr>
        <w:keepNext/>
        <w:spacing w:after="70" w:before="100"/>
        <w:jc w:val="center"/>
      </w:pPr>
      <w:r>
        <w:drawing>
          <wp:inline distT="0" distB="0" distL="0" distR="0">
            <wp:extent cx="6381750" cy="3381375"/>
            <wp:effectExtent t="0" r="0" b="0" l="0"/>
            <wp:docPr id="1" name="图 9　两个独立批次合并打印，仍有各自的条形码" descr="本地演示环境真实界面截图。两个独立批次合并打印，仍有各自的条形码" title="两个独立批次合并打印，仍有各自的条形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Heiti SC" w:hAnsi="Arial"/>
          <w:color w:val="555555"/>
          <w:sz w:val="19"/>
          <w:szCs w:val="19"/>
        </w:rPr>
        <w:t xml:space="preserve">图 9　两个独立批次合并打印，仍有各自的条形码</w:t>
      </w:r>
    </w:p>
    <w:p>
      <w:pPr>
        <w:pStyle w:val="Heading2"/>
      </w:pPr>
      <w:r>
        <w:rPr>
          <w:rFonts w:ascii="Arial" w:eastAsia="Heiti SC" w:hAnsi="Arial"/>
        </w:rPr>
        <w:t xml:space="preserve">使用扫码枪</w:t>
      </w:r>
    </w:p>
    <w:p>
      <w:r>
        <w:rPr>
          <w:rFonts w:ascii="Arial" w:eastAsia="Heiti SC" w:hAnsi="Arial"/>
        </w:rPr>
        <w:t xml:space="preserve">将扫码枪按键盘输入方式连接电脑，设置扫描后回车。进入“流转查询 → 扫码查询”，让输入框获得焦点后扫描完整批次条形码。系统使用 Code 128 条形码，不是二维码。</w:t>
      </w:r>
    </w:p>
    <w:p>
      <w:r>
        <w:rPr>
          <w:rFonts w:ascii="Arial" w:eastAsia="Heiti SC" w:hAnsi="Arial"/>
        </w:rPr>
        <w:t xml:space="preserve">扫描会打开对应批次详情，不等于已经确认接收。核对完仍需由有权限的接收账号点击确认。扫不到时，可手工输入纸面批次号并回车，排查是否漏字符、焦点不在输入框或设备未设置回车。</w:t>
      </w:r>
    </w:p>
    <w:p>
      <w:r>
        <w:rPr>
          <w:rFonts w:ascii="Arial" w:eastAsia="Heiti SC" w:hAnsi="Arial"/>
        </w:rPr>
        <w:t xml:space="preserve">预览中的客户资料来自该批次记录。资料有误应在允许修改时更正，不能靠手改纸面内容替代系统记录。</w:t>
      </w:r>
    </w:p>
    <w:p>
      <w:pPr>
        <w:pStyle w:val="Heading1"/>
        <w:pageBreakBefore/>
      </w:pPr>
      <w:r>
        <w:rPr>
          <w:rFonts w:ascii="Arial" w:eastAsia="Heiti SC" w:hAnsi="Arial"/>
        </w:rPr>
        <w:t xml:space="preserve">查询本班组某个流水号的收发历史</w:t>
      </w:r>
    </w:p>
    <w:p>
      <w:pPr>
        <w:pStyle w:val="ListParagraph"/>
        <w:numPr>
          <w:ilvl w:val="0"/>
          <w:numId w:val="12"/>
        </w:numPr>
        <w:spacing w:after="100" w:line="300"/>
      </w:pPr>
      <w:r>
        <w:rPr>
          <w:rFonts w:ascii="Arial" w:eastAsia="Heiti SC" w:hAnsi="Arial"/>
        </w:rPr>
        <w:t xml:space="preserve">进入本班组“收发历史”，输入完整流水号，例如 000012，点击“查询”。此处按完整流水号匹配，不要去掉前导零。</w:t>
      </w:r>
    </w:p>
    <w:p>
      <w:pPr>
        <w:pStyle w:val="ListParagraph"/>
        <w:numPr>
          <w:ilvl w:val="0"/>
          <w:numId w:val="12"/>
        </w:numPr>
        <w:spacing w:after="100" w:line="300"/>
      </w:pPr>
      <w:r>
        <w:rPr>
          <w:rFonts w:ascii="Arial" w:eastAsia="Heiti SC" w:hAnsi="Arial"/>
        </w:rPr>
        <w:t xml:space="preserve">按需要选择收发日期。图按本班组用途与接收批次排列，查看收进、分批转出、丢失和留存，同时展示件数与重量。</w:t>
      </w:r>
    </w:p>
    <w:p>
      <w:pPr>
        <w:pStyle w:val="ListParagraph"/>
        <w:numPr>
          <w:ilvl w:val="0"/>
          <w:numId w:val="12"/>
        </w:numPr>
        <w:spacing w:after="100" w:line="300"/>
      </w:pPr>
      <w:r>
        <w:rPr>
          <w:rFonts w:ascii="Arial" w:eastAsia="Heiti SC" w:hAnsi="Arial"/>
        </w:rPr>
        <w:t xml:space="preserve">滚轮缩放、拖动平移；工具栏可还原、全屏、关闭动画或重播路径。点击节点打开相应批次详情；密集时可用“查找收发节点”。</w:t>
      </w:r>
    </w:p>
    <w:p>
      <w:pPr>
        <w:keepNext/>
        <w:spacing w:after="70" w:before="100"/>
        <w:jc w:val="center"/>
      </w:pPr>
      <w:r>
        <w:drawing>
          <wp:inline distT="0" distB="0" distL="0" distR="0">
            <wp:extent cx="5076825" cy="3619500"/>
            <wp:effectExtent t="0" r="0" b="0" l="0"/>
            <wp:docPr id="1" name="图 10　轧制班组的 000012 收发时间图" descr="本地演示环境真实界面截图。轧制班组的 000012 收发时间图" title="轧制班组的 000012 收发时间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Heiti SC" w:hAnsi="Arial"/>
          <w:color w:val="555555"/>
          <w:sz w:val="19"/>
          <w:szCs w:val="19"/>
        </w:rPr>
        <w:t xml:space="preserve">图 10　轧制班组的 000012 收发时间图</w:t>
      </w:r>
    </w:p>
    <w:p>
      <w:r>
        <w:rPr>
          <w:rFonts w:ascii="Arial" w:eastAsia="Heiti SC" w:hAnsi="Arial"/>
        </w:rPr>
        <w:t xml:space="preserve">实心点表示收进，空心点表示转出，叉号表示丢失。待本班组接收但未确认的料尚未入账，会另行提示，不充作已收进。</w:t>
      </w:r>
    </w:p>
    <w:p>
      <w:r>
        <w:rPr>
          <w:rFonts w:ascii="Arial" w:eastAsia="Heiti SC" w:hAnsi="Arial"/>
        </w:rPr>
        <w:t xml:space="preserve">当前结存是查询时的库存；限定日期后的图只显示该时间范围的收发和结存线索。未转出的留存不代表已经加工完成，也不能据此计算工时。</w:t>
      </w:r>
    </w:p>
    <w:p>
      <w:pPr>
        <w:pStyle w:val="Heading1"/>
        <w:pageBreakBefore/>
      </w:pPr>
      <w:r>
        <w:rPr>
          <w:rFonts w:ascii="Arial" w:eastAsia="Heiti SC" w:hAnsi="Arial"/>
        </w:rPr>
        <w:t xml:space="preserve">管理员查看流水号全链路</w:t>
      </w:r>
    </w:p>
    <w:p>
      <w:r>
        <w:rPr>
          <w:rFonts w:ascii="Arial" w:eastAsia="Heiti SC" w:hAnsi="Arial"/>
        </w:rPr>
        <w:t xml:space="preserve">入口：管理员 → 流转查询 → 全链路追踪。输入完整流水号并查询，将其在不同班组的实际批次关系放在同一时间画布查看。</w:t>
      </w:r>
    </w:p>
    <w:p>
      <w:pPr>
        <w:keepNext/>
        <w:spacing w:after="70" w:before="100"/>
        <w:jc w:val="center"/>
      </w:pPr>
      <w:r>
        <w:drawing>
          <wp:inline distT="0" distB="0" distL="0" distR="0">
            <wp:extent cx="5829300" cy="4048125"/>
            <wp:effectExtent t="0" r="0" b="0" l="0"/>
            <wp:docPr id="1" name="图 11　全链路的横轴是时间，纵向按班组排列" descr="本地演示环境真实界面截图。全链路的横轴是时间，纵向按班组排列" title="全链路的横轴是时间，纵向按班组排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Heiti SC" w:hAnsi="Arial"/>
          <w:color w:val="555555"/>
          <w:sz w:val="19"/>
          <w:szCs w:val="19"/>
        </w:rPr>
        <w:t xml:space="preserve">图 11　全链路的横轴是时间，纵向按班组排列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cantSplit/>
          <w:tblHeader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1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/>
                <w:bCs/>
                <w:sz w:val="21"/>
                <w:szCs w:val="21"/>
              </w:rPr>
              <w:t xml:space="preserve">图形</w:t>
            </w:r>
          </w:p>
        </w:tc>
        <w:tc>
          <w:tcPr>
            <w:tcW w:type="dxa" w:w="7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1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/>
                <w:bCs/>
                <w:sz w:val="21"/>
                <w:szCs w:val="21"/>
              </w:rPr>
              <w:t xml:space="preserve">表示什么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横向浅色条</w:t>
            </w:r>
          </w:p>
        </w:tc>
        <w:tc>
          <w:tcPr>
            <w:tcW w:type="dxa" w:w="7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在该班组的在库停留，不是加工工时。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空心点／实心点</w:t>
            </w:r>
          </w:p>
        </w:tc>
        <w:tc>
          <w:tcPr>
            <w:tcW w:type="dxa" w:w="7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转出／接收时点。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跨班组路径与不同颜色</w:t>
            </w:r>
          </w:p>
        </w:tc>
        <w:tc>
          <w:tcPr>
            <w:tcW w:type="dxa" w:w="7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实际批次之间的流向；颜色区分接收用途。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未完成的流转段</w:t>
            </w:r>
          </w:p>
        </w:tc>
        <w:tc>
          <w:tcPr>
            <w:tcW w:type="dxa" w:w="7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已转出但尚未接收，结合悬浮明细判断。</w:t>
            </w:r>
          </w:p>
        </w:tc>
      </w:tr>
    </w:tbl>
    <w:p>
      <w:pPr>
        <w:spacing w:after="60" w:line="80"/>
      </w:pPr>
      <w:r>
        <w:rPr>
          <w:rFonts w:ascii="Arial" w:eastAsia="Heiti SC" w:hAnsi="Arial"/>
        </w:rPr>
        <w:t xml:space="preserve"/>
      </w:r>
    </w:p>
    <w:p>
      <w:r>
        <w:rPr>
          <w:rFonts w:ascii="Arial" w:eastAsia="Heiti SC" w:hAnsi="Arial"/>
        </w:rPr>
        <w:t xml:space="preserve">鼠标悬停节点或线段查看批次明细；点击可突出相关路径。滚轮缩放时间范围，选择平移工具拖动画布，使用还原按钮返回完整链路。跨几天的料可缩放查看，不受单日横轴限制。</w:t>
      </w:r>
    </w:p>
    <w:p>
      <w:r>
        <w:rPr>
          <w:rFonts w:ascii="Arial" w:eastAsia="Heiti SC" w:hAnsi="Arial"/>
        </w:rPr>
        <w:t xml:space="preserve">期初库存和外部入库是各自的起点。没有来源关联的历史单据不会被系统猜成一条完整路径；遇到提示先核对原始记录。</w:t>
      </w:r>
    </w:p>
    <w:p>
      <w:pPr>
        <w:pStyle w:val="Heading1"/>
        <w:pageBreakBefore/>
      </w:pPr>
      <w:r>
        <w:rPr>
          <w:rFonts w:ascii="Arial" w:eastAsia="Heiti SC" w:hAnsi="Arial"/>
        </w:rPr>
        <w:t xml:space="preserve">全厂总览与实时更新</w:t>
      </w:r>
    </w:p>
    <w:p>
      <w:r>
        <w:rPr>
          <w:rFonts w:ascii="Arial" w:eastAsia="Heiti SC" w:hAnsi="Arial"/>
        </w:rPr>
        <w:t xml:space="preserve">“全厂总览”显示全厂在库、内部在途，以及 8 个班组的当前库存、待接收和在库流水号。点击班组的“查看明细”进入该班组库存。</w:t>
      </w:r>
    </w:p>
    <w:p>
      <w:pPr>
        <w:keepNext/>
        <w:spacing w:after="70" w:before="100"/>
        <w:jc w:val="center"/>
      </w:pPr>
      <w:r>
        <w:drawing>
          <wp:inline distT="0" distB="0" distL="0" distR="0">
            <wp:extent cx="5762625" cy="4000500"/>
            <wp:effectExtent t="0" r="0" b="0" l="0"/>
            <wp:docPr id="1" name="图 12　全厂与班组库存总览，截图使用演示库" descr="本地演示环境真实界面截图。全厂与班组库存总览，截图使用演示库" title="全厂与班组库存总览，截图使用演示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Heiti SC" w:hAnsi="Arial"/>
          <w:color w:val="555555"/>
          <w:sz w:val="19"/>
          <w:szCs w:val="19"/>
        </w:rPr>
        <w:t xml:space="preserve">图 12　全厂与班组库存总览，截图使用演示库</w:t>
      </w:r>
    </w:p>
    <w:p>
      <w:pPr>
        <w:pStyle w:val="Heading2"/>
      </w:pPr>
      <w:r>
        <w:rPr>
          <w:rFonts w:ascii="Arial" w:eastAsia="Heiti SC" w:hAnsi="Arial"/>
        </w:rPr>
        <w:t xml:space="preserve">如何核对数字</w:t>
      </w:r>
    </w:p>
    <w:p>
      <w:pPr>
        <w:pStyle w:val="ListParagraph"/>
        <w:numPr>
          <w:ilvl w:val="0"/>
          <w:numId w:val="13"/>
        </w:numPr>
        <w:spacing w:after="100" w:line="300"/>
      </w:pPr>
      <w:r>
        <w:rPr>
          <w:rFonts w:ascii="Arial" w:eastAsia="Heiti SC" w:hAnsi="Arial"/>
        </w:rPr>
        <w:t xml:space="preserve">先确认比较的是同一时刻、同一班组和同一筛选范围。库存明细筛选了来源或类型时，不应直接与全班组总量比较。</w:t>
      </w:r>
    </w:p>
    <w:p>
      <w:pPr>
        <w:pStyle w:val="ListParagraph"/>
        <w:numPr>
          <w:ilvl w:val="0"/>
          <w:numId w:val="13"/>
        </w:numPr>
        <w:spacing w:after="100" w:line="300"/>
      </w:pPr>
      <w:r>
        <w:rPr>
          <w:rFonts w:ascii="Arial" w:eastAsia="Heiti SC" w:hAnsi="Arial"/>
        </w:rPr>
        <w:t xml:space="preserve">当前库存不含已转出的在途物料，也不含下序尚未确认接收的料。件数和重量是两套并列指标，不能只核对其中一个。</w:t>
      </w:r>
    </w:p>
    <w:p>
      <w:pPr>
        <w:pStyle w:val="ListParagraph"/>
        <w:numPr>
          <w:ilvl w:val="0"/>
          <w:numId w:val="13"/>
        </w:numPr>
        <w:spacing w:after="100" w:line="300"/>
      </w:pPr>
      <w:r>
        <w:rPr>
          <w:rFonts w:ascii="Arial" w:eastAsia="Heiti SC" w:hAnsi="Arial"/>
        </w:rPr>
        <w:t xml:space="preserve">正式提交后由服务端推送更新。若出现断线、刷新失败或待更新提示，先恢复连接并重新读取，再做库存判断。</w:t>
      </w:r>
    </w:p>
    <w:p>
      <w:r>
        <w:rPr>
          <w:rFonts w:ascii="Arial" w:eastAsia="Heiti SC" w:hAnsi="Arial"/>
        </w:rPr>
        <w:t xml:space="preserve">播放／暂停控制动画表现，不应当作暂停业务数据入账。编辑、核对或打印过程中若提示数据已变化，应读取最新内容后重新确认。</w:t>
      </w:r>
    </w:p>
    <w:p>
      <w:r>
        <w:rPr>
          <w:rFonts w:ascii="Arial" w:eastAsia="Heiti SC" w:hAnsi="Arial"/>
        </w:rPr>
        <w:t xml:space="preserve">演示数据库中的数值不是固定模板。实际部署后显示真实库存，不需要人工维护首页统计卡片。</w:t>
      </w:r>
    </w:p>
    <w:p>
      <w:pPr>
        <w:pStyle w:val="Heading1"/>
        <w:pageBreakBefore/>
      </w:pPr>
      <w:r>
        <w:rPr>
          <w:rFonts w:ascii="Arial" w:eastAsia="Heiti SC" w:hAnsi="Arial"/>
        </w:rPr>
        <w:t xml:space="preserve">独立大屏的查看方式</w:t>
      </w:r>
    </w:p>
    <w:p>
      <w:r>
        <w:rPr>
          <w:rFonts w:ascii="Arial" w:eastAsia="Heiti SC" w:hAnsi="Arial"/>
        </w:rPr>
        <w:t xml:space="preserve">点击系统右上角“大屏展示”进入独立页面，不与普通工作台共用侧栏。可全屏展示；退出浏览器全屏后，使用大屏左上角返回总览。</w:t>
      </w:r>
    </w:p>
    <w:p>
      <w:pPr>
        <w:keepNext/>
        <w:spacing w:after="70" w:before="100"/>
        <w:jc w:val="center"/>
      </w:pPr>
      <w:r>
        <w:drawing>
          <wp:inline distT="0" distB="0" distL="0" distR="0">
            <wp:extent cx="6381750" cy="3609975"/>
            <wp:effectExtent t="0" r="0" b="0" l="0"/>
            <wp:docPr id="1" name="图 13　当前版本的动态流转大屏" descr="本地演示环境真实界面截图。当前版本的动态流转大屏" title="当前版本的动态流转大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Heiti SC" w:hAnsi="Arial"/>
          <w:color w:val="555555"/>
          <w:sz w:val="19"/>
          <w:szCs w:val="19"/>
        </w:rPr>
        <w:t xml:space="preserve">图 13　当前版本的动态流转大屏</w:t>
      </w:r>
    </w:p>
    <w:p>
      <w:pPr>
        <w:pStyle w:val="Heading2"/>
      </w:pPr>
      <w:r>
        <w:rPr>
          <w:rFonts w:ascii="Arial" w:eastAsia="Heiti SC" w:hAnsi="Arial"/>
        </w:rPr>
        <w:t xml:space="preserve">看清每块数据的口径</w:t>
      </w:r>
    </w:p>
    <w:p>
      <w:r>
        <w:rPr>
          <w:rFonts w:ascii="Arial" w:eastAsia="Heiti SC" w:hAnsi="Arial"/>
        </w:rPr>
        <w:t xml:space="preserve">全厂库存及类型构成来自在库数据；班组库存展示各班组结存。班组间待接收展示内部转料中尚未确认的批次，与在库库存分开统计。</w:t>
      </w:r>
    </w:p>
    <w:p>
      <w:r>
        <w:rPr>
          <w:rFonts w:ascii="Arial" w:eastAsia="Heiti SC" w:hAnsi="Arial"/>
        </w:rPr>
        <w:t xml:space="preserve">点击班组切换当前关注对象，查看该班组库存构成、发出待接收及最近批次。线路按实际流转关系绘制，不表示预设工艺路线，也不表示生产线实时设备状态。</w:t>
      </w:r>
    </w:p>
    <w:p>
      <w:r>
        <w:rPr>
          <w:rFonts w:ascii="Arial" w:eastAsia="Heiti SC" w:hAnsi="Arial"/>
        </w:rPr>
        <w:t xml:space="preserve">顶部可暂停班组轮播、暂停流转动效、刷新状态或全屏。暂停动画不等于停止业务；画面是展示入口，实际接收、出库仍在班组工作台办理。</w:t>
      </w:r>
    </w:p>
    <w:p>
      <w:r>
        <w:rPr>
          <w:rFonts w:ascii="Arial" w:eastAsia="Heiti SC" w:hAnsi="Arial"/>
        </w:rPr>
        <w:t xml:space="preserve">数据不符时，先对照大屏的“实时同步”状态，再用同一班组、同一批次查工作台。不要通过重新入库来强行使两处数字相等。</w:t>
      </w:r>
    </w:p>
    <w:p>
      <w:pPr>
        <w:pStyle w:val="Heading1"/>
        <w:pageBreakBefore/>
      </w:pPr>
      <w:r>
        <w:rPr>
          <w:rFonts w:ascii="Arial" w:eastAsia="Heiti SC" w:hAnsi="Arial"/>
        </w:rPr>
        <w:t xml:space="preserve">常见问题与资料填写边界</w:t>
      </w:r>
    </w:p>
    <w:p>
      <w:pPr>
        <w:pStyle w:val="Heading2"/>
      </w:pPr>
      <w:r>
        <w:rPr>
          <w:rFonts w:ascii="Arial" w:eastAsia="Heiti SC" w:hAnsi="Arial"/>
        </w:rPr>
        <w:t xml:space="preserve">我要查废屑的出入库</w:t>
      </w:r>
    </w:p>
    <w:p>
      <w:r>
        <w:rPr>
          <w:rFonts w:ascii="Arial" w:eastAsia="Heiti SC" w:hAnsi="Arial"/>
        </w:rPr>
        <w:t xml:space="preserve">在库房“库存明细”把物料类型选为“废屑”，再按来源或流水号筛选；查看入库、出库记录时同样选类型和日期。需要追踪某份废屑时打开来源批次明细，或以完整流水号查询收发历史。0 件但有重量是有效记录。</w:t>
      </w:r>
    </w:p>
    <w:p>
      <w:pPr>
        <w:pStyle w:val="Heading2"/>
      </w:pPr>
      <w:r>
        <w:rPr>
          <w:rFonts w:ascii="Arial" w:eastAsia="Heiti SC" w:hAnsi="Arial"/>
        </w:rPr>
        <w:t xml:space="preserve">同一流水号为什么有多行</w:t>
      </w:r>
    </w:p>
    <w:p>
      <w:r>
        <w:rPr>
          <w:rFonts w:ascii="Arial" w:eastAsia="Heiti SC" w:hAnsi="Arial"/>
        </w:rPr>
        <w:t xml:space="preserve">可能分别属于外部来料、外部退回、车间转入，也可能分成半成品、成品、废屑等类型。先看来源、类型和规格，再看明细中的批次，不要直接删记录。</w:t>
      </w:r>
    </w:p>
    <w:p>
      <w:pPr>
        <w:pStyle w:val="Heading2"/>
      </w:pPr>
      <w:r>
        <w:rPr>
          <w:rFonts w:ascii="Arial" w:eastAsia="Heiti SC" w:hAnsi="Arial"/>
        </w:rPr>
        <w:t xml:space="preserve">确认后发现错了</w:t>
      </w:r>
    </w:p>
    <w:p>
      <w:r>
        <w:rPr>
          <w:rFonts w:ascii="Arial" w:eastAsia="Heiti SC" w:hAnsi="Arial"/>
        </w:rPr>
        <w:t xml:space="preserve">先停止继续转料并记录批次号、流水号、实际差异，联系管理员核查。已确认的入账记录不能在页面直接改数量；不要重复入库、虚构丢失或擅自作废其他批次来凑数。</w:t>
      </w:r>
    </w:p>
    <w:p>
      <w:pPr>
        <w:pStyle w:val="Heading2"/>
      </w:pPr>
      <w:r>
        <w:rPr>
          <w:rFonts w:ascii="Arial" w:eastAsia="Heiti SC" w:hAnsi="Arial"/>
        </w:rPr>
        <w:t xml:space="preserve">提交时网络中断</w:t>
      </w:r>
    </w:p>
    <w:p>
      <w:r>
        <w:rPr>
          <w:rFonts w:ascii="Arial" w:eastAsia="Heiti SC" w:hAnsi="Arial"/>
        </w:rPr>
        <w:t xml:space="preserve">先看记录是否已经生成。如果表单提示“上次提交结果待确认”，使用页面的重试核对入口；不要另开窗口重复提交相同实物。</w:t>
      </w:r>
    </w:p>
    <w:p>
      <w:pPr>
        <w:pStyle w:val="Heading2"/>
      </w:pPr>
      <w:r>
        <w:rPr>
          <w:rFonts w:ascii="Arial" w:eastAsia="Heiti SC" w:hAnsi="Arial"/>
        </w:rPr>
        <w:t xml:space="preserve">客户资料与本次转料信息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1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dxa" w:w="7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1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/>
                <w:bCs/>
                <w:sz w:val="21"/>
                <w:szCs w:val="21"/>
              </w:rPr>
              <w:t xml:space="preserve">填写或查看位置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本次业务信息</w:t>
            </w:r>
          </w:p>
        </w:tc>
        <w:tc>
          <w:tcPr>
            <w:tcW w:type="dxa" w:w="7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上下序、批次、类型、用途、件数、重量、说明，以及系统记录的操作人和时间。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基础物料资料</w:t>
            </w:r>
          </w:p>
        </w:tc>
        <w:tc>
          <w:tcPr>
            <w:tcW w:type="dxa" w:w="7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材质、成品规格、转料规格、成品件数、原单批号、客户代码、技术要求。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补充资料</w:t>
            </w:r>
          </w:p>
        </w:tc>
        <w:tc>
          <w:tcPr>
            <w:tcW w:type="dxa" w:w="7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eastAsia="Heiti SC" w:hAnsi="Arial"/>
                <w:b w:val="false"/>
                <w:bCs w:val="false"/>
                <w:sz w:val="21"/>
                <w:szCs w:val="21"/>
              </w:rPr>
              <w:t xml:space="preserve">编号、件号、形状、物料说明、外委单位、用途分类、三级类别、订单分类、特殊工艺说明。</w:t>
            </w:r>
          </w:p>
        </w:tc>
      </w:tr>
    </w:tbl>
    <w:p>
      <w:pPr>
        <w:spacing w:after="60" w:line="80"/>
      </w:pPr>
      <w:r>
        <w:rPr>
          <w:rFonts w:ascii="Arial" w:eastAsia="Heiti SC" w:hAnsi="Arial"/>
        </w:rPr>
        <w:t xml:space="preserve"/>
      </w:r>
    </w:p>
    <w:p>
      <w:r>
        <w:rPr>
          <w:rFonts w:ascii="Arial" w:eastAsia="Heiti SC" w:hAnsi="Arial"/>
        </w:rPr>
        <w:t xml:space="preserve">主系统对接仍需真实接口配置与联调。本手册不把“自动获取客户资料”视为已经可用的现场流程；当前可在入库补充资料、单据详情和打印中核对已保存信息。配置页中的地址、认证和测试仅由管理员处理，不在本手册公开密钥。</w:t>
      </w:r>
    </w:p>
    <w:sectPr>
      <w:headerReference w:type="default" r:id="rId7"/>
      <w:footerReference w:type="default" r:id="rId8"/>
      <w:pgSz w:w="12240" w:h="15840" w:orient="portrait"/>
      <w:pgMar w:top="940" w:right="1080" w:bottom="940" w:left="1080" w:header="40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eastAsia="Heiti SC" w:hAnsi="Arial"/>
        <w:color w:val="555555"/>
        <w:sz w:val="18"/>
        <w:szCs w:val="18"/>
      </w:rPr>
      <w:t xml:space="preserve">2026-09-22　　</w:t>
    </w:r>
    <w:r>
      <w:rPr>
        <w:rFonts w:ascii="Arial" w:eastAsia="Heiti SC" w:hAnsi="Arial"/>
        <w:color w:val="555555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Arial" w:eastAsia="Heiti SC" w:hAnsi="Arial"/>
        <w:color w:val="000000"/>
        <w:sz w:val="18"/>
        <w:szCs w:val="18"/>
      </w:rPr>
      <w:t xml:space="preserve">热沉物料流转管理系统　用户操作手册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320"/>
      </w:pPr>
      <w:rPr>
        <w:rFonts w:ascii="Arial" w:eastAsia="Heiti SC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320"/>
      </w:pPr>
      <w:rPr>
        <w:rFonts w:ascii="Arial" w:eastAsia="Heiti SC" w:hAnsi="Arial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320"/>
      </w:pPr>
      <w:rPr>
        <w:rFonts w:ascii="Arial" w:eastAsia="Heiti SC" w:hAnsi="Arial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320"/>
      </w:pPr>
      <w:rPr>
        <w:rFonts w:ascii="Arial" w:eastAsia="Heiti SC" w:hAnsi="Arial"/>
        <w:sz w:val="22"/>
        <w:szCs w:val="22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320"/>
      </w:pPr>
      <w:rPr>
        <w:rFonts w:ascii="Arial" w:eastAsia="Heiti SC" w:hAnsi="Arial"/>
        <w:sz w:val="22"/>
        <w:szCs w:val="22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320"/>
      </w:pPr>
      <w:rPr>
        <w:rFonts w:ascii="Arial" w:eastAsia="Heiti SC" w:hAnsi="Arial"/>
        <w:sz w:val="22"/>
        <w:szCs w:val="22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320"/>
      </w:pPr>
      <w:rPr>
        <w:rFonts w:ascii="Arial" w:eastAsia="Heiti SC" w:hAnsi="Arial"/>
        <w:sz w:val="22"/>
        <w:szCs w:val="22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320"/>
      </w:pPr>
      <w:rPr>
        <w:rFonts w:ascii="Arial" w:eastAsia="Heiti SC" w:hAnsi="Arial"/>
        <w:sz w:val="22"/>
        <w:szCs w:val="22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320"/>
      </w:pPr>
      <w:rPr>
        <w:rFonts w:ascii="Arial" w:eastAsia="Heiti SC" w:hAnsi="Arial"/>
        <w:sz w:val="22"/>
        <w:szCs w:val="22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320"/>
      </w:pPr>
      <w:rPr>
        <w:rFonts w:ascii="Arial" w:eastAsia="Heiti SC" w:hAnsi="Arial"/>
        <w:sz w:val="22"/>
        <w:szCs w:val="22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320"/>
      </w:pPr>
      <w:rPr>
        <w:rFonts w:ascii="Arial" w:eastAsia="Heiti SC" w:hAnsi="Arial"/>
        <w:sz w:val="22"/>
        <w:szCs w:val="22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320"/>
      </w:pPr>
      <w:rPr>
        <w:rFonts w:ascii="Arial" w:eastAsia="Heiti SC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Heiti SC" w:hAnsi="Arial"/>
        <w:color w:val="000000"/>
        <w:sz w:val="22"/>
        <w:szCs w:val="22"/>
      </w:rPr>
    </w:rPrDefault>
    <w:pPrDefault>
      <w:pPr>
        <w:spacing w:after="120"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 w:before="120"/>
    </w:pPr>
    <w:rPr>
      <w:rFonts w:ascii="Arial" w:eastAsia="Heiti SC" w:hAnsi="Arial"/>
      <w:b/>
      <w:bCs/>
      <w:color w:val="000000"/>
      <w:sz w:val="44"/>
      <w:szCs w:val="44"/>
    </w:rPr>
  </w:style>
  <w:style w:type="paragraph" w:styleId="Subtitle">
    <w:name w:val="Subtitle"/>
    <w:basedOn w:val="Normal"/>
    <w:pPr>
      <w:spacing w:after="300"/>
    </w:pPr>
    <w:rPr>
      <w:rFonts w:ascii="Arial" w:eastAsia="Heiti SC" w:hAnsi="Arial"/>
      <w:color w:val="000000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after="200"/>
      <w:outlineLvl w:val="0"/>
    </w:pPr>
    <w:rPr>
      <w:rFonts w:ascii="Arial" w:eastAsia="Heiti SC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180"/>
      <w:outlineLvl w:val="1"/>
    </w:pPr>
    <w:rPr>
      <w:rFonts w:ascii="Arial" w:eastAsia="Heiti SC" w:hAnsi="Arial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298b359d94eb89783896b0e72395f81657c3d31.png"/><Relationship Id="rId10" Type="http://schemas.openxmlformats.org/officeDocument/2006/relationships/image" Target="media/a1262e4e99fa101d76ea5fcc77ad3eab924c6fd6.png"/><Relationship Id="rId11" Type="http://schemas.openxmlformats.org/officeDocument/2006/relationships/image" Target="media/32144df20c11e58f818e03e0e6182e9b3fc016d0.png"/><Relationship Id="rId12" Type="http://schemas.openxmlformats.org/officeDocument/2006/relationships/image" Target="media/f028b4458a65b4dae33d434dc8c04a108f448f80.png"/><Relationship Id="rId13" Type="http://schemas.openxmlformats.org/officeDocument/2006/relationships/image" Target="media/fb6eae0cad352cf4dcadfb2c0b9a5bd1bc8542db.png"/><Relationship Id="rId14" Type="http://schemas.openxmlformats.org/officeDocument/2006/relationships/image" Target="media/1e8c591f9b45f0514a214355fe385c22570ac686.png"/><Relationship Id="rId15" Type="http://schemas.openxmlformats.org/officeDocument/2006/relationships/image" Target="media/5fd87df0260f6d3cc5f49abb808f316b0aec5543.png"/><Relationship Id="rId16" Type="http://schemas.openxmlformats.org/officeDocument/2006/relationships/image" Target="media/5a765d2d4949c65b0e5f0e4588c0a454427e5f66.png"/><Relationship Id="rId17" Type="http://schemas.openxmlformats.org/officeDocument/2006/relationships/image" Target="media/3c3be3d9725a431b60dd87e8a7cbb4036f4a182f.png"/><Relationship Id="rId18" Type="http://schemas.openxmlformats.org/officeDocument/2006/relationships/image" Target="media/22286612c3182fe498ed6be8ad4d86565670dc53.png"/><Relationship Id="rId19" Type="http://schemas.openxmlformats.org/officeDocument/2006/relationships/image" Target="media/d7faa8548589b6ec12bd1c779c7322d5aee6f99f.png"/><Relationship Id="rId20" Type="http://schemas.openxmlformats.org/officeDocument/2006/relationships/image" Target="media/6d2af14e9d6941d0fb7564577040d2a0f4758997.png"/><Relationship Id="rId21" Type="http://schemas.openxmlformats.org/officeDocument/2006/relationships/image" Target="media/1881930bfe2686cda159d7b48cf1458706ba44da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热沉物料流转管理系统用户操作手册</dc:title>
  <dc:subject>班组收发与库存操作</dc:subject>
  <dc:creator>热沉物料流转项目</dc:creator>
  <dc:description>基于 2026-09-22 本地版本和隔离演示环境截图</dc:description>
  <cp:lastModifiedBy>Un-named</cp:lastModifiedBy>
  <cp:revision>1</cp:revision>
  <dcterms:created xsi:type="dcterms:W3CDTF">2026-09-22T07:15:59.920Z</dcterms:created>
  <dcterms:modified xsi:type="dcterms:W3CDTF">2026-09-22T07:15:59.934Z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