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0"/>
        <w:jc w:val="left"/>
        <w:rPr>
          <w:rFonts w:ascii="Times-Bold" w:hAnsi="Times-Bold"/>
          <w:b/>
          <w:outline w:val="false"/>
          <w:color w:val="auto"/>
          <w:spacing w:val="0"/>
          <w:kern w:val="0"/>
          <w:sz w:val="28"/>
        </w:rPr>
      </w:pPr>
      <w:r>
        <w:rPr>
          <w:rFonts w:ascii="Times-Bold" w:hAnsi="Times-Bold"/>
          <w:b/>
          <w:outline w:val="false"/>
          <w:color w:val="auto"/>
          <w:spacing w:val="0"/>
          <w:kern w:val="0"/>
          <w:sz w:val="28"/>
        </w:rPr>
        <w:t>Step 1. Revenue concentration analysis</w:t>
      </w:r>
    </w:p>
    <w:p>
      <w:pPr>
        <w:pStyle w:val="Normal"/>
        <w:bidi w:val="0"/>
        <w:spacing w:before="0" w:after="240"/>
        <w:jc w:val="left"/>
        <w:rPr>
          <w:rFonts w:ascii="Times-Roman" w:hAnsi="Times-Roman"/>
          <w:b w:val="false"/>
          <w:outline w:val="false"/>
          <w:color w:val="auto"/>
          <w:spacing w:val="0"/>
          <w:kern w:val="0"/>
          <w:sz w:val="24"/>
        </w:rPr>
      </w:pPr>
      <w:r>
        <w:rPr>
          <w:rFonts w:ascii="Times-Roman" w:hAnsi="Times-Roman"/>
          <w:b w:val="false"/>
          <w:outline w:val="false"/>
          <w:color w:val="auto"/>
          <w:spacing w:val="0"/>
          <w:kern w:val="0"/>
          <w:sz w:val="28"/>
        </w:rPr>
        <w:t xml:space="preserve">The analysis starts with revenue, it represents customer demand and business performance. The initial hypothesis was: “can group of 4 districts generate more than 50% of revenue?”. The 50% was chosen as a meaningful benchmark to answer on question “Is demand dominated by a limited number of locations?” </w:t>
      </w:r>
    </w:p>
    <w:p>
      <w:pPr>
        <w:pStyle w:val="Normal"/>
        <w:bidi w:val="0"/>
        <w:spacing w:before="0" w:after="280"/>
        <w:jc w:val="left"/>
        <w:rPr>
          <w:rFonts w:ascii="Times-Bold" w:hAnsi="Times-Bold"/>
          <w:b/>
          <w:outline w:val="false"/>
          <w:color w:val="auto"/>
          <w:spacing w:val="0"/>
          <w:kern w:val="0"/>
          <w:sz w:val="28"/>
        </w:rPr>
      </w:pPr>
      <w:r>
        <w:rPr>
          <w:rFonts w:ascii="Times-Bold" w:hAnsi="Times-Bold"/>
          <w:b/>
          <w:outline w:val="false"/>
          <w:color w:val="auto"/>
          <w:spacing w:val="0"/>
          <w:kern w:val="0"/>
          <w:sz w:val="28"/>
        </w:rPr>
        <w:t>Step 2. District comparison</w:t>
      </w:r>
    </w:p>
    <w:p>
      <w:pPr>
        <w:pStyle w:val="Normal"/>
        <w:bidi w:val="0"/>
        <w:spacing w:before="0" w:after="280"/>
        <w:jc w:val="left"/>
        <w:rPr>
          <w:rFonts w:ascii="Times-Roman" w:hAnsi="Times-Roman"/>
          <w:b w:val="false"/>
          <w:outline w:val="false"/>
          <w:color w:val="auto"/>
          <w:spacing w:val="0"/>
          <w:kern w:val="0"/>
          <w:sz w:val="24"/>
        </w:rPr>
      </w:pPr>
      <w:r>
        <w:rPr>
          <w:rFonts w:ascii="Times-Roman" w:hAnsi="Times-Roman"/>
          <w:b w:val="false"/>
          <w:outline w:val="false"/>
          <w:color w:val="auto"/>
          <w:spacing w:val="0"/>
          <w:kern w:val="0"/>
          <w:sz w:val="28"/>
        </w:rPr>
        <w:t>The analysis compared multiple districts instead of top-performing one to reflect how bakery operates on connected areas. The results showed that the top four districts together generate 46% of total revenue, indicating that demand is strong but not over concentrated. This finding shifted the location strategy toward identifying a balanced area that provides access to several high-performing districts</w:t>
      </w:r>
    </w:p>
    <w:p>
      <w:pPr>
        <w:pStyle w:val="Normal"/>
        <w:bidi w:val="0"/>
        <w:spacing w:before="0" w:after="280"/>
        <w:jc w:val="left"/>
        <w:rPr>
          <w:rFonts w:ascii="Times-Bold" w:hAnsi="Times-Bold"/>
          <w:b/>
          <w:outline w:val="false"/>
          <w:color w:val="auto"/>
          <w:spacing w:val="0"/>
          <w:kern w:val="0"/>
          <w:sz w:val="28"/>
        </w:rPr>
      </w:pPr>
      <w:r>
        <w:rPr>
          <w:rFonts w:ascii="Times-Bold" w:hAnsi="Times-Bold"/>
          <w:b/>
          <w:outline w:val="false"/>
          <w:color w:val="auto"/>
          <w:spacing w:val="0"/>
          <w:kern w:val="0"/>
          <w:sz w:val="28"/>
        </w:rPr>
        <w:t>Step 3. Stability analysis</w:t>
      </w:r>
    </w:p>
    <w:p>
      <w:pPr>
        <w:pStyle w:val="Normal"/>
        <w:bidi w:val="0"/>
        <w:spacing w:before="0" w:after="240"/>
        <w:jc w:val="left"/>
        <w:rPr>
          <w:rFonts w:ascii="Times-Roman" w:hAnsi="Times-Roman"/>
          <w:b w:val="false"/>
          <w:outline w:val="false"/>
          <w:color w:val="auto"/>
          <w:spacing w:val="0"/>
          <w:kern w:val="0"/>
          <w:sz w:val="24"/>
        </w:rPr>
      </w:pPr>
      <w:r>
        <w:rPr>
          <w:rFonts w:ascii="Times-Roman" w:hAnsi="Times-Roman"/>
          <w:b w:val="false"/>
          <w:outline w:val="false"/>
          <w:color w:val="auto"/>
          <w:spacing w:val="0"/>
          <w:kern w:val="0"/>
          <w:sz w:val="28"/>
        </w:rPr>
        <w:t>The analysis compared the average number of items sold per day in the top-performing districts with the city-wide average to show demand stability. The results showed that daily item sales in the four selected districts were approximately 2.1 times higher than the city average, indicating consistently stronger demand. This stability reduces operational risk related to inventory planning and staffing for a new bakery location.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left"/>
        <w:rPr>
          <w:rFonts w:ascii="Helvetica" w:hAnsi="Helvetica"/>
          <w:b w:val="false"/>
          <w:outline w:val="false"/>
          <w:color w:val="auto"/>
          <w:spacing w:val="0"/>
          <w:kern w:val="2"/>
          <w:sz w:val="36"/>
        </w:rPr>
      </w:pPr>
      <w:r>
        <w:rPr>
          <w:rFonts w:ascii="Helvetica" w:hAnsi="Helvetica"/>
          <w:b w:val="false"/>
          <w:outline w:val="false"/>
          <w:color w:val="auto"/>
          <w:spacing w:val="0"/>
          <w:kern w:val="2"/>
          <w:sz w:val="36"/>
        </w:rPr>
      </w:r>
    </w:p>
    <w:p>
      <w:pPr>
        <w:pStyle w:val="Normal"/>
        <w:bidi w:val="0"/>
        <w:spacing w:before="0" w:after="280"/>
        <w:jc w:val="left"/>
        <w:rPr>
          <w:rFonts w:ascii="Times-Bold" w:hAnsi="Times-Bold"/>
          <w:b/>
          <w:outline w:val="false"/>
          <w:color w:val="auto"/>
          <w:spacing w:val="0"/>
          <w:kern w:val="0"/>
          <w:sz w:val="28"/>
        </w:rPr>
      </w:pPr>
      <w:r>
        <w:rPr>
          <w:rFonts w:ascii="Times-Bold" w:hAnsi="Times-Bold"/>
          <w:b/>
          <w:outline w:val="false"/>
          <w:color w:val="auto"/>
          <w:spacing w:val="0"/>
          <w:kern w:val="0"/>
          <w:sz w:val="28"/>
        </w:rPr>
        <w:t>Step 4. Product-level analysis</w:t>
      </w:r>
    </w:p>
    <w:p>
      <w:pPr>
        <w:pStyle w:val="Normal"/>
        <w:bidi w:val="0"/>
        <w:spacing w:before="0" w:after="240"/>
        <w:jc w:val="left"/>
        <w:rPr>
          <w:rFonts w:ascii="Times-Roman" w:hAnsi="Times-Roman"/>
          <w:b w:val="false"/>
          <w:outline w:val="false"/>
          <w:color w:val="auto"/>
          <w:spacing w:val="0"/>
          <w:kern w:val="0"/>
          <w:sz w:val="28"/>
        </w:rPr>
      </w:pPr>
      <w:r>
        <w:rPr>
          <w:rFonts w:ascii="Times-Roman" w:hAnsi="Times-Roman"/>
          <w:b w:val="false"/>
          <w:outline w:val="false"/>
          <w:color w:val="auto"/>
          <w:spacing w:val="0"/>
          <w:kern w:val="0"/>
          <w:sz w:val="28"/>
        </w:rPr>
        <w:t>The product-level analysis identified a clear demand leader: angbutter. Average daily sales of angbutter were approximately three times higher than those of the second most popular product, croissant. This insight suggests that the opening of a new bakery location should prioritize production capacity, staff training, and equipment for angbutter, followed by secondary focus on croissants, plain bread, tiramisu, and pain au chocolat.</w:t>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Times-Bold">
    <w:charset w:val="00"/>
    <w:family w:val="auto"/>
    <w:pitch w:val="variable"/>
  </w:font>
  <w:font w:name="Times-Roman">
    <w:altName w:val="Times New Roman"/>
    <w:charset w:val="00"/>
    <w:family w:val="auto"/>
    <w:pitch w:val="variable"/>
  </w:font>
  <w:font w:name="Helvetica">
    <w:altName w:val="Arial"/>
    <w:charset w:val="00"/>
    <w:family w:val="auto"/>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LibreOffice/24.8.1.2$Linux_X86_64 LibreOffice_project/87fa9aec1a63e70835390b81c40bb8993f1d4ff6</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