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F015E">
      <w:pPr>
        <w:spacing w:line="310" w:lineRule="atLeast"/>
        <w:rPr>
          <w:rFonts w:hint="eastAsia" w:ascii="仿宋_GB2312" w:hAnsi="Calibri" w:eastAsia="仿宋_GB2312"/>
          <w:b/>
          <w:sz w:val="32"/>
          <w:szCs w:val="32"/>
        </w:rPr>
      </w:pPr>
      <w:r>
        <w:rPr>
          <w:rFonts w:hint="eastAsia" w:ascii="仿宋_GB2312" w:hAnsi="Calibri" w:eastAsia="仿宋_GB2312"/>
          <w:sz w:val="32"/>
          <w:szCs w:val="32"/>
        </w:rPr>
        <w:t xml:space="preserve">           </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14:paraId="32936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522" w:type="dxa"/>
            <w:noWrap w:val="0"/>
            <w:vAlign w:val="top"/>
          </w:tcPr>
          <w:p w14:paraId="3CA21F0B">
            <w:pPr>
              <w:pStyle w:val="25"/>
              <w:spacing w:before="0"/>
              <w:jc w:val="left"/>
              <w:rPr>
                <w:rFonts w:hint="eastAsia"/>
                <w:color w:val="auto"/>
                <w:sz w:val="32"/>
              </w:rPr>
            </w:pPr>
            <w:r>
              <w:rPr>
                <w:rFonts w:hint="eastAsia" w:ascii="仿宋_GB2312" w:hAnsi="宋体" w:eastAsia="仿宋_GB2312"/>
                <w:snapToGrid/>
                <w:color w:val="auto"/>
                <w:spacing w:val="0"/>
                <w:kern w:val="2"/>
                <w:sz w:val="28"/>
                <w:szCs w:val="28"/>
              </w:rPr>
              <w:t>方法或配方类发明专利填写以下内容</w:t>
            </w:r>
            <w:r>
              <w:rPr>
                <w:rFonts w:hint="eastAsia"/>
                <w:color w:val="auto"/>
                <w:sz w:val="32"/>
              </w:rPr>
              <w:t>：</w:t>
            </w:r>
          </w:p>
          <w:p w14:paraId="20D4D0C4">
            <w:pPr>
              <w:pStyle w:val="25"/>
              <w:spacing w:before="0"/>
              <w:jc w:val="left"/>
              <w:rPr>
                <w:rFonts w:hint="eastAsia" w:hAnsi="宋体"/>
                <w:b w:val="0"/>
                <w:snapToGrid/>
                <w:color w:val="auto"/>
                <w:spacing w:val="0"/>
                <w:kern w:val="2"/>
                <w:sz w:val="24"/>
                <w:szCs w:val="22"/>
              </w:rPr>
            </w:pPr>
          </w:p>
          <w:p w14:paraId="62CADC63">
            <w:pPr>
              <w:pStyle w:val="25"/>
              <w:spacing w:before="0"/>
              <w:jc w:val="left"/>
              <w:rPr>
                <w:rFonts w:hint="eastAsia" w:hAnsi="宋体"/>
                <w:b w:val="0"/>
                <w:snapToGrid/>
                <w:color w:val="auto"/>
                <w:spacing w:val="0"/>
                <w:kern w:val="2"/>
                <w:sz w:val="24"/>
                <w:szCs w:val="22"/>
              </w:rPr>
            </w:pPr>
          </w:p>
          <w:p w14:paraId="0DB87ABD">
            <w:pPr>
              <w:pStyle w:val="25"/>
              <w:spacing w:before="0"/>
              <w:jc w:val="center"/>
              <w:rPr>
                <w:rFonts w:hint="eastAsia" w:hAnsi="宋体" w:eastAsia="宋体"/>
                <w:b w:val="0"/>
                <w:snapToGrid/>
                <w:color w:val="auto"/>
                <w:spacing w:val="0"/>
                <w:kern w:val="2"/>
                <w:sz w:val="24"/>
                <w:szCs w:val="22"/>
                <w:lang w:eastAsia="zh-CN"/>
              </w:rPr>
            </w:pPr>
            <w:r>
              <w:rPr>
                <w:rFonts w:hint="eastAsia" w:hAnsi="宋体"/>
                <w:b w:val="0"/>
                <w:snapToGrid/>
                <w:color w:val="auto"/>
                <w:spacing w:val="0"/>
                <w:kern w:val="2"/>
                <w:sz w:val="24"/>
                <w:szCs w:val="22"/>
                <w:lang w:eastAsia="zh-CN"/>
              </w:rPr>
              <w:t>（</w:t>
            </w:r>
            <w:r>
              <w:rPr>
                <w:rFonts w:hint="eastAsia" w:hAnsi="宋体"/>
                <w:b w:val="0"/>
                <w:snapToGrid/>
                <w:color w:val="auto"/>
                <w:spacing w:val="0"/>
                <w:kern w:val="2"/>
                <w:sz w:val="24"/>
                <w:szCs w:val="22"/>
                <w:lang w:val="en-US" w:eastAsia="zh-CN"/>
              </w:rPr>
              <w:t>一种基于历史数据的收益风险多目标决策算法</w:t>
            </w:r>
            <w:r>
              <w:rPr>
                <w:rFonts w:hint="eastAsia" w:hAnsi="宋体"/>
                <w:b w:val="0"/>
                <w:snapToGrid/>
                <w:color w:val="auto"/>
                <w:spacing w:val="0"/>
                <w:kern w:val="2"/>
                <w:sz w:val="24"/>
                <w:szCs w:val="22"/>
                <w:lang w:eastAsia="zh-CN"/>
              </w:rPr>
              <w:t>）</w:t>
            </w:r>
          </w:p>
          <w:p w14:paraId="1FC57F75">
            <w:pPr>
              <w:spacing w:before="156" w:beforeLines="50" w:after="156" w:afterLines="50"/>
              <w:rPr>
                <w:rFonts w:hint="eastAsia" w:ascii="宋体" w:hAnsi="宋体" w:eastAsia="宋体"/>
                <w:sz w:val="24"/>
              </w:rPr>
            </w:pPr>
            <w:r>
              <w:rPr>
                <w:rFonts w:hint="eastAsia" w:ascii="宋体" w:hAnsi="宋体" w:eastAsia="宋体"/>
                <w:sz w:val="24"/>
              </w:rPr>
              <w:t>一、本专利技术的所属技术领域：</w:t>
            </w:r>
          </w:p>
          <w:p w14:paraId="19EA39CE">
            <w:pPr>
              <w:ind w:firstLine="210" w:firstLineChars="100"/>
              <w:rPr>
                <w:rFonts w:hint="eastAsia" w:ascii="宋体" w:hAnsi="宋体" w:eastAsia="宋体" w:cs="宋体"/>
                <w:kern w:val="0"/>
                <w:szCs w:val="21"/>
              </w:rPr>
            </w:pPr>
            <w:r>
              <w:rPr>
                <w:rFonts w:hint="eastAsia" w:ascii="宋体" w:hAnsi="宋体" w:eastAsia="宋体" w:cs="宋体"/>
                <w:kern w:val="0"/>
                <w:szCs w:val="21"/>
              </w:rPr>
              <w:t>数量化投资管理领域</w:t>
            </w:r>
            <w:r>
              <w:rPr>
                <w:rFonts w:hint="eastAsia" w:ascii="宋体" w:hAnsi="宋体" w:eastAsia="宋体" w:cs="宋体"/>
                <w:kern w:val="0"/>
                <w:szCs w:val="21"/>
                <w:lang w:eastAsia="zh-CN"/>
              </w:rPr>
              <w:t>。</w:t>
            </w:r>
            <w:r>
              <w:rPr>
                <w:rFonts w:hint="eastAsia" w:ascii="宋体" w:hAnsi="宋体" w:eastAsia="宋体" w:cs="宋体"/>
                <w:kern w:val="0"/>
                <w:szCs w:val="21"/>
              </w:rPr>
              <w:t>该技术应用于社会保障基金、企业年金、养老金等资本市场投资的科学决策支持，通过生成对抗网络处理模糊多目标优化问题，属于金融投资与人工智能交叉领域。虽然其他专利涉及风险识别、数据处理等技术方向，但均未直接关联“收益风险多目标决策”在投资组合优化中的具体应用场景。本专利通过历史数据分析实现收益与风险的多目标平衡，聚焦于金融资产配置的智能优化方法创新。</w:t>
            </w:r>
          </w:p>
          <w:p w14:paraId="1230E5B5">
            <w:pPr>
              <w:spacing w:before="156" w:beforeLines="50" w:after="156" w:afterLines="50"/>
              <w:rPr>
                <w:rFonts w:hint="eastAsia" w:ascii="宋体" w:hAnsi="宋体" w:eastAsia="宋体"/>
                <w:sz w:val="24"/>
              </w:rPr>
            </w:pPr>
            <w:r>
              <w:rPr>
                <w:rFonts w:hint="eastAsia" w:ascii="宋体" w:hAnsi="宋体" w:eastAsia="宋体"/>
                <w:sz w:val="24"/>
              </w:rPr>
              <w:t>二、背景技术：</w:t>
            </w:r>
          </w:p>
          <w:p w14:paraId="3420F258">
            <w:pPr>
              <w:ind w:firstLine="210" w:firstLineChars="100"/>
              <w:rPr>
                <w:rFonts w:hint="eastAsia" w:ascii="宋体" w:hAnsi="宋体" w:eastAsia="宋体" w:cs="宋体"/>
                <w:kern w:val="0"/>
                <w:szCs w:val="21"/>
              </w:rPr>
            </w:pPr>
            <w:r>
              <w:rPr>
                <w:rFonts w:hint="default" w:ascii="宋体" w:hAnsi="宋体" w:eastAsia="宋体" w:cs="宋体"/>
                <w:kern w:val="0"/>
                <w:szCs w:val="21"/>
              </w:rPr>
              <w:t>针对企业年金运营中基于历史数据的收益风险多目标决策技术，现有技术存在以下问题和缺点：</w:t>
            </w:r>
          </w:p>
          <w:p w14:paraId="394C36D4">
            <w:pPr>
              <w:ind w:firstLine="210" w:firstLineChars="100"/>
              <w:rPr>
                <w:rFonts w:hint="eastAsia" w:ascii="宋体" w:hAnsi="宋体" w:eastAsia="宋体" w:cs="宋体"/>
                <w:kern w:val="0"/>
                <w:szCs w:val="21"/>
              </w:rPr>
            </w:pPr>
            <w:r>
              <w:rPr>
                <w:rFonts w:hint="default" w:ascii="宋体" w:hAnsi="宋体" w:eastAsia="宋体" w:cs="宋体"/>
                <w:kern w:val="0"/>
                <w:szCs w:val="21"/>
              </w:rPr>
              <w:t>模型适应性不足：传统风险评估模型（如压力测试）对复杂市场环境变化的响应能力有限，难以动态平衡收益与风险的多元目标，尤其在极端市场波动下预测精度显著下降；</w:t>
            </w:r>
          </w:p>
          <w:p w14:paraId="688D90A5">
            <w:pPr>
              <w:ind w:firstLine="210" w:firstLineChars="100"/>
              <w:rPr>
                <w:rFonts w:hint="eastAsia" w:ascii="宋体" w:hAnsi="宋体" w:eastAsia="宋体" w:cs="宋体"/>
                <w:kern w:val="0"/>
                <w:szCs w:val="21"/>
              </w:rPr>
            </w:pPr>
            <w:r>
              <w:rPr>
                <w:rFonts w:hint="default" w:ascii="宋体" w:hAnsi="宋体" w:eastAsia="宋体" w:cs="宋体"/>
                <w:kern w:val="0"/>
                <w:szCs w:val="21"/>
              </w:rPr>
              <w:t>跨领域协同缺陷：现有技术未充分整合法律、投资、证券等多领域专业知识，导致风险决策模型在资产配置和合规性审查中存在割裂，影响决策效率；</w:t>
            </w:r>
          </w:p>
          <w:p w14:paraId="2758EF85">
            <w:pPr>
              <w:ind w:firstLine="210" w:firstLineChars="100"/>
              <w:rPr>
                <w:rFonts w:hint="eastAsia" w:ascii="宋体" w:hAnsi="宋体" w:eastAsia="宋体" w:cs="宋体"/>
                <w:kern w:val="0"/>
                <w:szCs w:val="21"/>
              </w:rPr>
            </w:pPr>
            <w:r>
              <w:rPr>
                <w:rFonts w:hint="default" w:ascii="宋体" w:hAnsi="宋体" w:eastAsia="宋体" w:cs="宋体"/>
                <w:kern w:val="0"/>
                <w:szCs w:val="21"/>
              </w:rPr>
              <w:t>数据处理效率低：历史数据与实时运营数据的融合处理能力不足，受托人与账户管理人之间的信息流转环节冗余，增加了决策延迟和操作风险；</w:t>
            </w:r>
          </w:p>
          <w:p w14:paraId="41D17C03">
            <w:pPr>
              <w:ind w:firstLine="210" w:firstLineChars="100"/>
              <w:rPr>
                <w:rFonts w:hint="eastAsia" w:ascii="宋体" w:hAnsi="宋体" w:eastAsia="宋体" w:cs="宋体"/>
                <w:kern w:val="0"/>
                <w:szCs w:val="21"/>
              </w:rPr>
            </w:pPr>
            <w:r>
              <w:rPr>
                <w:rFonts w:hint="default" w:ascii="宋体" w:hAnsi="宋体" w:eastAsia="宋体" w:cs="宋体"/>
                <w:kern w:val="0"/>
                <w:szCs w:val="21"/>
              </w:rPr>
              <w:t>资产配置局限性：现有投资组合优化方法受限于固定权益类资产比例（如股票投资上限约束），且缺乏生命周期动态调整机制，难以实现长期收益最大化；</w:t>
            </w:r>
          </w:p>
          <w:p w14:paraId="24256737">
            <w:pPr>
              <w:ind w:firstLine="210" w:firstLineChars="100"/>
              <w:rPr>
                <w:rFonts w:hint="eastAsia" w:ascii="宋体" w:hAnsi="宋体" w:eastAsia="宋体" w:cs="宋体"/>
                <w:kern w:val="0"/>
                <w:szCs w:val="21"/>
              </w:rPr>
            </w:pPr>
            <w:r>
              <w:rPr>
                <w:rFonts w:hint="default" w:ascii="宋体" w:hAnsi="宋体" w:eastAsia="宋体" w:cs="宋体"/>
                <w:kern w:val="0"/>
                <w:szCs w:val="21"/>
              </w:rPr>
              <w:t>动态调整能力弱：传统决策树模型无法有效处理模糊多目标优化问题，对市场趋势和参保人需求的动态变化缺乏自适应学习能力；</w:t>
            </w:r>
          </w:p>
          <w:p w14:paraId="2763552D">
            <w:pPr>
              <w:ind w:firstLine="210" w:firstLineChars="100"/>
              <w:rPr>
                <w:rFonts w:hint="eastAsia" w:ascii="宋体" w:hAnsi="宋体" w:eastAsia="宋体" w:cs="宋体"/>
                <w:kern w:val="0"/>
                <w:szCs w:val="21"/>
              </w:rPr>
            </w:pPr>
            <w:r>
              <w:rPr>
                <w:rFonts w:hint="default" w:ascii="宋体" w:hAnsi="宋体" w:eastAsia="宋体" w:cs="宋体"/>
                <w:kern w:val="0"/>
                <w:szCs w:val="21"/>
              </w:rPr>
              <w:t>风险覆盖不全面：现有技术侧重财务风险度量，但对委托代理风险（如受托人与投资管理人利益冲突）和操作风险的量化评估不足，易导致不公平交易或收益损失。</w:t>
            </w:r>
          </w:p>
          <w:p w14:paraId="01B406A1">
            <w:pPr>
              <w:ind w:firstLine="210" w:firstLineChars="100"/>
              <w:rPr>
                <w:rFonts w:hint="default" w:ascii="宋体" w:hAnsi="宋体" w:eastAsia="宋体" w:cs="宋体"/>
                <w:kern w:val="0"/>
                <w:szCs w:val="21"/>
              </w:rPr>
            </w:pPr>
            <w:r>
              <w:rPr>
                <w:rFonts w:hint="default" w:ascii="宋体" w:hAnsi="宋体" w:eastAsia="宋体" w:cs="宋体"/>
                <w:kern w:val="0"/>
                <w:szCs w:val="21"/>
              </w:rPr>
              <w:t>这些问题表明，现有技术亟需通过人工智能算法优化（如生成对抗网络）提升多目标决策的实时性、协同性和动态适应性。</w:t>
            </w:r>
          </w:p>
          <w:p w14:paraId="7BB99C15">
            <w:pPr>
              <w:spacing w:before="156" w:beforeLines="50" w:after="156" w:afterLines="50"/>
              <w:rPr>
                <w:rFonts w:hint="eastAsia" w:ascii="宋体" w:hAnsi="宋体" w:eastAsia="宋体"/>
                <w:sz w:val="24"/>
              </w:rPr>
            </w:pPr>
            <w:r>
              <w:rPr>
                <w:rFonts w:hint="eastAsia" w:ascii="宋体" w:hAnsi="宋体" w:eastAsia="宋体"/>
                <w:sz w:val="24"/>
              </w:rPr>
              <w:t>三、本专利所要解决的技术问题或者本专利技术的发明目的：</w:t>
            </w:r>
          </w:p>
          <w:p w14:paraId="1E2AB1D8">
            <w:pPr>
              <w:ind w:firstLine="210" w:firstLineChars="100"/>
              <w:rPr>
                <w:rFonts w:hint="default" w:ascii="宋体" w:hAnsi="宋体" w:eastAsia="宋体" w:cs="宋体"/>
                <w:kern w:val="0"/>
                <w:szCs w:val="21"/>
              </w:rPr>
            </w:pPr>
            <w:r>
              <w:rPr>
                <w:rFonts w:hint="default" w:ascii="宋体" w:hAnsi="宋体" w:eastAsia="宋体" w:cs="宋体"/>
                <w:kern w:val="0"/>
                <w:szCs w:val="21"/>
              </w:rPr>
              <w:t>该专利的发明目的是通过人工智能技术解决企业年金等长期资金管理中收益与风险动态平衡的决策难题，具体包括：</w:t>
            </w:r>
          </w:p>
          <w:p w14:paraId="70218838">
            <w:pPr>
              <w:ind w:firstLine="210" w:firstLineChars="100"/>
              <w:rPr>
                <w:rFonts w:hint="default" w:ascii="宋体" w:hAnsi="宋体" w:eastAsia="宋体" w:cs="宋体"/>
                <w:kern w:val="0"/>
                <w:szCs w:val="21"/>
              </w:rPr>
            </w:pPr>
            <w:r>
              <w:rPr>
                <w:rFonts w:hint="default" w:ascii="宋体" w:hAnsi="宋体" w:eastAsia="宋体" w:cs="宋体"/>
                <w:kern w:val="0"/>
                <w:szCs w:val="21"/>
              </w:rPr>
              <w:t>提升多目标优化能力：利用生成对抗网络（GAN）处理模糊多目标优化问题，突破传统决策树模型在动态市场环境下适应性不足的局限，实现收益最大化与风险最小化的精准权衡；</w:t>
            </w:r>
          </w:p>
          <w:p w14:paraId="384AFDD8">
            <w:pPr>
              <w:ind w:firstLine="210" w:firstLineChars="100"/>
              <w:rPr>
                <w:rFonts w:hint="default" w:ascii="宋体" w:hAnsi="宋体" w:eastAsia="宋体" w:cs="宋体"/>
                <w:kern w:val="0"/>
                <w:szCs w:val="21"/>
              </w:rPr>
            </w:pPr>
            <w:r>
              <w:rPr>
                <w:rFonts w:hint="default" w:ascii="宋体" w:hAnsi="宋体" w:eastAsia="宋体" w:cs="宋体"/>
                <w:kern w:val="0"/>
                <w:szCs w:val="21"/>
              </w:rPr>
              <w:t>增强历史数据利用效率：通过深度学习算法深度挖掘历史数据中的非线性关系，解决现有技术因数据融合能力不足导致的决策延迟问题，提高资产配置策略的实时响应速度；</w:t>
            </w:r>
          </w:p>
          <w:p w14:paraId="06ABD6F7">
            <w:pPr>
              <w:ind w:firstLine="210" w:firstLineChars="100"/>
              <w:rPr>
                <w:rFonts w:hint="default" w:ascii="宋体" w:hAnsi="宋体" w:eastAsia="宋体" w:cs="宋体"/>
                <w:kern w:val="0"/>
                <w:szCs w:val="21"/>
              </w:rPr>
            </w:pPr>
            <w:r>
              <w:rPr>
                <w:rFonts w:hint="default" w:ascii="宋体" w:hAnsi="宋体" w:eastAsia="宋体" w:cs="宋体"/>
                <w:kern w:val="0"/>
                <w:szCs w:val="21"/>
              </w:rPr>
              <w:t>优化长期投资决策：建立生命周期动态调整机制，克服传统方法依赖固定权益类资产比例的缺陷，使企业年金投资组合能随市场趋势和参保人需求变化自适应优化；</w:t>
            </w:r>
          </w:p>
          <w:p w14:paraId="7E6CC381">
            <w:pPr>
              <w:ind w:firstLine="210" w:firstLineChars="100"/>
              <w:rPr>
                <w:rFonts w:hint="default" w:ascii="宋体" w:hAnsi="宋体" w:eastAsia="宋体" w:cs="宋体"/>
                <w:kern w:val="0"/>
                <w:szCs w:val="21"/>
              </w:rPr>
            </w:pPr>
            <w:r>
              <w:rPr>
                <w:rFonts w:hint="default" w:ascii="宋体" w:hAnsi="宋体" w:eastAsia="宋体" w:cs="宋体"/>
                <w:kern w:val="0"/>
                <w:szCs w:val="21"/>
              </w:rPr>
              <w:t>强化风险覆盖维度：在财务风险评估基础上，整合委托代理风险、操作风险等多维度量化分析，弥补现有技术对非市场风险评估的缺失，降低不公平交易概率。</w:t>
            </w:r>
            <w:r>
              <w:rPr>
                <w:rFonts w:hint="default" w:ascii="宋体" w:hAnsi="宋体" w:eastAsia="宋体" w:cs="宋体"/>
                <w:kern w:val="0"/>
                <w:szCs w:val="21"/>
              </w:rPr>
              <w:br w:type="textWrapping"/>
            </w:r>
            <w:r>
              <w:rPr>
                <w:rFonts w:hint="default" w:ascii="宋体" w:hAnsi="宋体" w:eastAsia="宋体" w:cs="宋体"/>
                <w:kern w:val="0"/>
                <w:szCs w:val="21"/>
              </w:rPr>
              <w:t>相较于现有技术（如单一风险视角的信贷评估模型或通用多目标优化方法），本专利聚焦于金融资产配置场景，通过算法创新实现智能化、动态化的收益风险决策支持。</w:t>
            </w:r>
          </w:p>
          <w:p w14:paraId="0C9F968D">
            <w:pPr>
              <w:ind w:firstLine="210" w:firstLineChars="100"/>
              <w:rPr>
                <w:rFonts w:hint="eastAsia" w:ascii="宋体" w:hAnsi="宋体" w:eastAsia="宋体" w:cs="宋体"/>
                <w:kern w:val="0"/>
                <w:szCs w:val="21"/>
              </w:rPr>
            </w:pPr>
            <w:r>
              <w:rPr>
                <w:rFonts w:hint="eastAsia" w:ascii="宋体" w:hAnsi="宋体" w:eastAsia="宋体" w:cs="宋体"/>
                <w:kern w:val="0"/>
                <w:szCs w:val="21"/>
              </w:rPr>
              <w:t xml:space="preserve">  </w:t>
            </w:r>
          </w:p>
          <w:p w14:paraId="0DBF1024">
            <w:pPr>
              <w:spacing w:before="156" w:beforeLines="50" w:after="156" w:afterLines="50"/>
              <w:rPr>
                <w:rFonts w:hint="eastAsia" w:ascii="宋体" w:hAnsi="宋体" w:eastAsia="宋体"/>
                <w:sz w:val="24"/>
              </w:rPr>
            </w:pPr>
            <w:r>
              <w:rPr>
                <w:rFonts w:hint="eastAsia" w:ascii="宋体" w:hAnsi="宋体" w:eastAsia="宋体"/>
                <w:sz w:val="24"/>
              </w:rPr>
              <w:t>四、本专利技术方案的详细阐述：</w:t>
            </w:r>
          </w:p>
          <w:p w14:paraId="5C78319B">
            <w:pPr>
              <w:ind w:firstLine="210" w:firstLineChars="100"/>
              <w:rPr>
                <w:rFonts w:hint="default" w:ascii="宋体" w:hAnsi="宋体" w:eastAsia="宋体" w:cs="宋体"/>
                <w:kern w:val="0"/>
                <w:szCs w:val="21"/>
              </w:rPr>
            </w:pPr>
            <w:r>
              <w:rPr>
                <w:rFonts w:hint="default" w:ascii="宋体" w:hAnsi="宋体" w:eastAsia="宋体" w:cs="宋体"/>
                <w:kern w:val="0"/>
                <w:szCs w:val="21"/>
              </w:rPr>
              <w:t>本专利的技术方案详细阐述如下，结合历史数据与多目标优化算法实现企业年金收益风险决策的智能化管理：</w:t>
            </w:r>
          </w:p>
          <w:p w14:paraId="7205F593">
            <w:pPr>
              <w:ind w:firstLine="210" w:firstLineChars="100"/>
              <w:rPr>
                <w:rFonts w:hint="default" w:ascii="宋体" w:hAnsi="宋体" w:eastAsia="宋体" w:cs="宋体"/>
                <w:kern w:val="0"/>
                <w:szCs w:val="21"/>
              </w:rPr>
            </w:pPr>
            <w:r>
              <w:rPr>
                <w:rFonts w:hint="default" w:ascii="宋体" w:hAnsi="宋体" w:eastAsia="宋体" w:cs="宋体"/>
                <w:kern w:val="0"/>
                <w:szCs w:val="21"/>
              </w:rPr>
              <w:t>1</w:t>
            </w:r>
            <w:r>
              <w:rPr>
                <w:rFonts w:hint="eastAsia" w:ascii="宋体" w:hAnsi="宋体" w:cs="宋体"/>
                <w:kern w:val="0"/>
                <w:szCs w:val="21"/>
                <w:lang w:eastAsia="zh-CN"/>
              </w:rPr>
              <w:t>.</w:t>
            </w:r>
            <w:r>
              <w:rPr>
                <w:rFonts w:hint="default" w:ascii="宋体" w:hAnsi="宋体" w:eastAsia="宋体" w:cs="宋体"/>
                <w:kern w:val="0"/>
                <w:szCs w:val="21"/>
              </w:rPr>
              <w:t xml:space="preserve"> 技术总体架构与数据流</w:t>
            </w:r>
          </w:p>
          <w:p w14:paraId="1D743BB5">
            <w:pPr>
              <w:ind w:firstLine="210" w:firstLineChars="100"/>
              <w:rPr>
                <w:rFonts w:hint="eastAsia" w:ascii="宋体" w:hAnsi="宋体" w:eastAsia="宋体" w:cs="宋体"/>
                <w:sz w:val="24"/>
                <w:szCs w:val="24"/>
              </w:rPr>
            </w:pPr>
            <w:r>
              <w:rPr>
                <w:rFonts w:hint="default" w:ascii="宋体" w:hAnsi="宋体" w:eastAsia="宋体" w:cs="宋体"/>
                <w:kern w:val="0"/>
                <w:szCs w:val="21"/>
              </w:rPr>
              <w:t xml:space="preserve">本发明面向养老金/年金等长期资金的收益—风险多目标决策，采用“多源数据 → 标准化因子/标签 → </w:t>
            </w:r>
            <w:r>
              <w:rPr>
                <w:rFonts w:hint="eastAsia" w:ascii="宋体" w:hAnsi="宋体" w:eastAsia="宋体" w:cs="宋体"/>
                <w:kern w:val="0"/>
                <w:szCs w:val="21"/>
                <w:lang w:val="en-US" w:eastAsia="zh-CN"/>
              </w:rPr>
              <w:t>Transformer</w:t>
            </w:r>
            <w:r>
              <w:rPr>
                <w:rFonts w:hint="default" w:ascii="宋体" w:hAnsi="宋体" w:eastAsia="宋体" w:cs="宋体"/>
                <w:kern w:val="0"/>
                <w:szCs w:val="21"/>
              </w:rPr>
              <w:t xml:space="preserve"> 生成器（G）→ 判别器（D）对抗评估 → 多目标优化/约束投影 → 组合与风险评估 → 可视化与在线更新”的一体化流水线。数据侧与训练侧严格分层解耦，保证各模块可独立测试与替换，适配真实生产环境中的大规模数据流与自动化调度</w:t>
            </w:r>
          </w:p>
          <w:p w14:paraId="27D974BE">
            <w:pPr>
              <w:ind w:firstLine="210" w:firstLineChars="100"/>
              <w:rPr>
                <w:rFonts w:hint="default" w:ascii="宋体" w:hAnsi="宋体" w:eastAsia="宋体" w:cs="宋体"/>
                <w:kern w:val="0"/>
                <w:szCs w:val="21"/>
              </w:rPr>
            </w:pPr>
            <w:r>
              <w:rPr>
                <w:rFonts w:hint="eastAsia" w:ascii="宋体" w:hAnsi="宋体" w:cs="宋体"/>
                <w:kern w:val="0"/>
                <w:szCs w:val="21"/>
                <w:lang w:val="en-US" w:eastAsia="zh-CN"/>
              </w:rPr>
              <w:t>2</w:t>
            </w:r>
            <w:r>
              <w:rPr>
                <w:rFonts w:hint="default" w:ascii="宋体" w:hAnsi="宋体" w:eastAsia="宋体" w:cs="宋体"/>
                <w:kern w:val="0"/>
                <w:szCs w:val="21"/>
              </w:rPr>
              <w:t>.数据融合与特征提取</w:t>
            </w:r>
          </w:p>
          <w:p w14:paraId="43B78F7A">
            <w:pPr>
              <w:ind w:firstLine="211" w:firstLineChars="100"/>
              <w:rPr>
                <w:rFonts w:hint="default" w:ascii="宋体" w:hAnsi="宋体" w:eastAsia="宋体" w:cs="宋体"/>
                <w:b/>
                <w:bCs/>
                <w:kern w:val="0"/>
                <w:szCs w:val="21"/>
              </w:rPr>
            </w:pPr>
            <w:r>
              <w:rPr>
                <w:rFonts w:hint="default" w:ascii="宋体" w:hAnsi="宋体" w:eastAsia="宋体" w:cs="宋体"/>
                <w:b/>
                <w:bCs/>
                <w:kern w:val="0"/>
                <w:szCs w:val="21"/>
              </w:rPr>
              <w:t>多源异构数据整合：</w:t>
            </w:r>
          </w:p>
          <w:p w14:paraId="51526268">
            <w:pPr>
              <w:ind w:firstLine="210" w:firstLineChars="100"/>
              <w:rPr>
                <w:rFonts w:hint="eastAsia" w:ascii="宋体" w:hAnsi="宋体" w:eastAsia="宋体" w:cs="宋体"/>
                <w:kern w:val="0"/>
                <w:szCs w:val="21"/>
              </w:rPr>
            </w:pPr>
            <w:r>
              <w:rPr>
                <w:rFonts w:hint="eastAsia" w:ascii="宋体" w:hAnsi="宋体" w:eastAsia="宋体" w:cs="宋体"/>
                <w:kern w:val="0"/>
                <w:szCs w:val="21"/>
              </w:rPr>
              <w:t>接入多类数据并在统一键（交易日、代码）下融合：</w:t>
            </w:r>
          </w:p>
          <w:p w14:paraId="3A8C4CB3">
            <w:pPr>
              <w:numPr>
                <w:ilvl w:val="0"/>
                <w:numId w:val="1"/>
              </w:numPr>
              <w:ind w:left="420" w:leftChars="0" w:hanging="200" w:firstLineChars="0"/>
              <w:rPr>
                <w:rFonts w:hint="eastAsia" w:ascii="宋体" w:hAnsi="宋体" w:eastAsia="宋体" w:cs="宋体"/>
                <w:kern w:val="0"/>
                <w:szCs w:val="21"/>
              </w:rPr>
            </w:pPr>
            <w:r>
              <w:rPr>
                <w:rFonts w:hint="eastAsia" w:ascii="宋体" w:hAnsi="宋体" w:eastAsia="宋体" w:cs="宋体"/>
                <w:kern w:val="0"/>
                <w:szCs w:val="21"/>
              </w:rPr>
              <w:t>市场基础与行情数据（股/债/衍生品、复权价、成交量、换手率、VWAP 等）；</w:t>
            </w:r>
          </w:p>
          <w:p w14:paraId="5DF52792">
            <w:pPr>
              <w:numPr>
                <w:ilvl w:val="0"/>
                <w:numId w:val="1"/>
              </w:numPr>
              <w:ind w:left="420" w:leftChars="0" w:hanging="200" w:firstLineChars="0"/>
              <w:rPr>
                <w:rFonts w:hint="eastAsia" w:ascii="宋体" w:hAnsi="宋体" w:eastAsia="宋体" w:cs="宋体"/>
                <w:kern w:val="0"/>
                <w:szCs w:val="21"/>
              </w:rPr>
            </w:pPr>
            <w:r>
              <w:rPr>
                <w:rFonts w:hint="eastAsia" w:ascii="宋体" w:hAnsi="宋体" w:eastAsia="宋体" w:cs="宋体"/>
                <w:kern w:val="0"/>
                <w:szCs w:val="21"/>
              </w:rPr>
              <w:t>基本面、宏观与另类数据（行业、情绪、分析师、成长、价值、质量等）；</w:t>
            </w:r>
          </w:p>
          <w:p w14:paraId="6D195FC0">
            <w:pPr>
              <w:numPr>
                <w:ilvl w:val="0"/>
                <w:numId w:val="1"/>
              </w:numPr>
              <w:ind w:left="420" w:leftChars="0" w:hanging="200" w:firstLineChars="0"/>
              <w:rPr>
                <w:rFonts w:hint="eastAsia" w:ascii="宋体" w:hAnsi="宋体" w:eastAsia="宋体" w:cs="宋体"/>
                <w:kern w:val="0"/>
                <w:szCs w:val="21"/>
              </w:rPr>
            </w:pPr>
            <w:r>
              <w:rPr>
                <w:rFonts w:hint="eastAsia" w:ascii="宋体" w:hAnsi="宋体" w:eastAsia="宋体" w:cs="宋体"/>
                <w:kern w:val="0"/>
                <w:szCs w:val="21"/>
              </w:rPr>
              <w:t>机构侧私有因子与禁投池信息，统一写入宽表分片并生成训练索引。上述数据按类别进行差异化清洗与标准化（价格类归一化取对数、体量类按历史均值归一化、状态类保持离散值等），并自动扩展多时间窗口特征（如 1/30/60/90 天），确保多尺度信息覆盖。</w:t>
            </w:r>
          </w:p>
          <w:p w14:paraId="63DAC814">
            <w:pPr>
              <w:ind w:firstLine="211" w:firstLineChars="100"/>
              <w:rPr>
                <w:rFonts w:hint="default" w:ascii="宋体" w:hAnsi="宋体" w:eastAsia="宋体" w:cs="宋体"/>
                <w:kern w:val="0"/>
                <w:szCs w:val="21"/>
              </w:rPr>
            </w:pPr>
            <w:r>
              <w:rPr>
                <w:rFonts w:hint="default" w:ascii="宋体" w:hAnsi="宋体" w:eastAsia="宋体" w:cs="宋体"/>
                <w:b/>
                <w:bCs/>
                <w:kern w:val="0"/>
                <w:szCs w:val="21"/>
              </w:rPr>
              <w:t>深度学习特征工程：</w:t>
            </w:r>
            <w:r>
              <w:rPr>
                <w:rFonts w:hint="eastAsia" w:ascii="宋体" w:hAnsi="宋体" w:eastAsia="宋体" w:cs="宋体"/>
                <w:kern w:val="0"/>
                <w:szCs w:val="21"/>
                <w:lang w:val="en-US" w:eastAsia="zh-CN"/>
              </w:rPr>
              <w:t>基于训练集数据，</w:t>
            </w:r>
            <w:r>
              <w:rPr>
                <w:rFonts w:hint="default" w:ascii="宋体" w:hAnsi="宋体" w:eastAsia="宋体" w:cs="宋体"/>
                <w:kern w:val="0"/>
                <w:szCs w:val="21"/>
              </w:rPr>
              <w:t>使用LSTM-Attention网络提取资产波动周期</w:t>
            </w:r>
            <w:r>
              <w:rPr>
                <w:rFonts w:hint="eastAsia" w:ascii="宋体" w:hAnsi="宋体" w:eastAsia="宋体" w:cs="宋体"/>
                <w:kern w:val="0"/>
                <w:szCs w:val="21"/>
                <w:lang w:val="en-US" w:eastAsia="zh-CN"/>
              </w:rPr>
              <w:t>等</w:t>
            </w:r>
            <w:r>
              <w:rPr>
                <w:rFonts w:hint="default" w:ascii="宋体" w:hAnsi="宋体" w:eastAsia="宋体" w:cs="宋体"/>
                <w:kern w:val="0"/>
                <w:szCs w:val="21"/>
              </w:rPr>
              <w:t>时序数据的长期依赖关系</w:t>
            </w:r>
            <w:r>
              <w:rPr>
                <w:rFonts w:hint="eastAsia" w:ascii="宋体" w:hAnsi="宋体" w:eastAsia="宋体" w:cs="宋体"/>
                <w:kern w:val="0"/>
                <w:szCs w:val="21"/>
                <w:lang w:eastAsia="zh-CN"/>
              </w:rPr>
              <w:t>，通过图卷积网络（GCN） 分析行业联动风险传导</w:t>
            </w:r>
            <w:r>
              <w:rPr>
                <w:rFonts w:hint="eastAsia" w:ascii="宋体" w:hAnsi="宋体" w:eastAsia="宋体" w:cs="宋体"/>
                <w:kern w:val="0"/>
                <w:szCs w:val="21"/>
                <w:lang w:val="en-US" w:eastAsia="zh-CN"/>
              </w:rPr>
              <w:t>等</w:t>
            </w:r>
            <w:r>
              <w:rPr>
                <w:rFonts w:hint="eastAsia" w:ascii="宋体" w:hAnsi="宋体" w:eastAsia="宋体" w:cs="宋体"/>
                <w:kern w:val="0"/>
                <w:szCs w:val="21"/>
                <w:lang w:eastAsia="zh-CN"/>
              </w:rPr>
              <w:t>资产关联性，将</w:t>
            </w:r>
            <w:r>
              <w:rPr>
                <w:rFonts w:hint="eastAsia" w:ascii="宋体" w:hAnsi="宋体" w:eastAsia="宋体" w:cs="宋体"/>
                <w:kern w:val="0"/>
                <w:szCs w:val="21"/>
                <w:lang w:val="en-US" w:eastAsia="zh-CN"/>
              </w:rPr>
              <w:t>市场风险（市场波动）、</w:t>
            </w:r>
            <w:r>
              <w:rPr>
                <w:rFonts w:hint="eastAsia" w:ascii="宋体" w:hAnsi="宋体" w:eastAsia="宋体" w:cs="宋体"/>
                <w:kern w:val="0"/>
                <w:szCs w:val="21"/>
                <w:lang w:eastAsia="zh-CN"/>
              </w:rPr>
              <w:t>操作风险（交易异常频率）、委托代理风险（管理人历史违规记录）量化为特征向量，采用滑动窗口实时更新特征库，确保输入数据时效性</w:t>
            </w:r>
            <w:r>
              <w:rPr>
                <w:rFonts w:hint="default" w:ascii="宋体" w:hAnsi="宋体" w:eastAsia="宋体" w:cs="宋体"/>
                <w:kern w:val="0"/>
                <w:szCs w:val="21"/>
              </w:rPr>
              <w:t>。</w:t>
            </w:r>
          </w:p>
          <w:p w14:paraId="587AB698">
            <w:pPr>
              <w:ind w:firstLine="211" w:firstLineChars="100"/>
              <w:rPr>
                <w:rFonts w:hint="eastAsia" w:ascii="宋体" w:hAnsi="宋体" w:eastAsia="宋体" w:cs="宋体"/>
                <w:b/>
                <w:bCs/>
                <w:kern w:val="0"/>
                <w:szCs w:val="21"/>
                <w:lang w:eastAsia="zh-CN"/>
              </w:rPr>
            </w:pPr>
            <w:r>
              <w:rPr>
                <w:rFonts w:hint="default" w:ascii="宋体" w:hAnsi="宋体" w:eastAsia="宋体" w:cs="宋体"/>
                <w:b/>
                <w:bCs/>
                <w:kern w:val="0"/>
                <w:szCs w:val="21"/>
              </w:rPr>
              <w:t>标签构建与稳健化</w:t>
            </w:r>
            <w:r>
              <w:rPr>
                <w:rFonts w:hint="eastAsia" w:ascii="宋体" w:hAnsi="宋体" w:eastAsia="宋体" w:cs="宋体"/>
                <w:b/>
                <w:bCs/>
                <w:kern w:val="0"/>
                <w:szCs w:val="21"/>
                <w:lang w:eastAsia="zh-CN"/>
              </w:rPr>
              <w:t>：</w:t>
            </w:r>
          </w:p>
          <w:p w14:paraId="64C8CB3B">
            <w:pPr>
              <w:ind w:firstLine="210" w:firstLineChars="100"/>
              <w:rPr>
                <w:rFonts w:hint="eastAsia" w:ascii="宋体" w:hAnsi="宋体" w:cs="宋体"/>
                <w:kern w:val="0"/>
                <w:szCs w:val="21"/>
                <w:lang w:eastAsia="zh-CN"/>
              </w:rPr>
            </w:pPr>
            <w:r>
              <w:rPr>
                <w:rFonts w:hint="default" w:ascii="宋体" w:hAnsi="宋体" w:eastAsia="宋体" w:cs="宋体"/>
                <w:kern w:val="0"/>
                <w:szCs w:val="21"/>
              </w:rPr>
              <w:t>以未来K日累计收益 为基础标签，采用相关邻居平滑降噪</w:t>
            </w:r>
            <w:r>
              <w:rPr>
                <w:rFonts w:hint="eastAsia" w:ascii="宋体" w:hAnsi="宋体" w:cs="宋体"/>
                <w:kern w:val="0"/>
                <w:szCs w:val="21"/>
                <w:lang w:eastAsia="zh-CN"/>
              </w:rPr>
              <w:t>：</w:t>
            </w:r>
          </w:p>
          <w:p w14:paraId="6611C8CE">
            <w:pPr>
              <w:jc w:val="left"/>
              <w:rPr>
                <w:rFonts w:hint="eastAsia" w:ascii="宋体" w:hAnsi="宋体" w:cs="宋体"/>
                <w:kern w:val="0"/>
                <w:szCs w:val="21"/>
                <w:lang w:eastAsia="zh-CN"/>
              </w:rPr>
            </w:pPr>
            <m:oMathPara>
              <m:oMath>
                <m:r>
                  <m:rPr/>
                  <m:t>label_adj = ( label_raw − mu_{N_K} ) / sigma_{N_K}</m:t>
                </m:r>
              </m:oMath>
            </m:oMathPara>
          </w:p>
          <w:p w14:paraId="6CF488E2">
            <w:pPr>
              <w:ind w:firstLine="210" w:firstLineChars="100"/>
              <w:rPr>
                <w:rFonts w:hint="eastAsia" w:ascii="宋体" w:hAnsi="宋体" w:eastAsia="宋体" w:cs="宋体"/>
                <w:kern w:val="0"/>
                <w:szCs w:val="21"/>
                <w:lang w:eastAsia="zh-CN"/>
              </w:rPr>
            </w:pPr>
            <w:r>
              <w:rPr>
                <w:rFonts w:hint="default" w:ascii="宋体" w:hAnsi="宋体" w:eastAsia="宋体" w:cs="宋体"/>
                <w:kern w:val="0"/>
                <w:szCs w:val="21"/>
              </w:rPr>
              <w:t>该方法降低个股特异噪声并提升截面排序稳定性，契合后续以排序为主的损失设计。</w:t>
            </w:r>
          </w:p>
          <w:p w14:paraId="7B0DD298">
            <w:pPr>
              <w:ind w:firstLine="210" w:firstLineChars="100"/>
              <w:rPr>
                <w:rFonts w:hint="default" w:ascii="宋体" w:hAnsi="宋体" w:eastAsia="宋体" w:cs="宋体"/>
                <w:kern w:val="0"/>
                <w:szCs w:val="21"/>
              </w:rPr>
            </w:pPr>
            <w:r>
              <w:rPr>
                <w:rFonts w:hint="eastAsia" w:ascii="宋体" w:hAnsi="宋体" w:cs="宋体"/>
                <w:kern w:val="0"/>
                <w:szCs w:val="21"/>
                <w:lang w:val="en-US" w:eastAsia="zh-CN"/>
              </w:rPr>
              <w:t>3</w:t>
            </w:r>
            <w:r>
              <w:rPr>
                <w:rFonts w:hint="default" w:ascii="宋体" w:hAnsi="宋体" w:eastAsia="宋体" w:cs="宋体"/>
                <w:kern w:val="0"/>
                <w:szCs w:val="21"/>
              </w:rPr>
              <w:t>. 多目标优化模型设计</w:t>
            </w:r>
          </w:p>
          <w:p w14:paraId="2341EA19">
            <w:pPr>
              <w:ind w:firstLine="210" w:firstLineChars="100"/>
              <w:rPr>
                <w:rFonts w:hint="default" w:ascii="宋体" w:hAnsi="宋体" w:eastAsia="宋体" w:cs="宋体"/>
                <w:kern w:val="0"/>
                <w:szCs w:val="21"/>
              </w:rPr>
            </w:pPr>
            <w:r>
              <w:rPr>
                <w:rFonts w:hint="default" w:ascii="宋体" w:hAnsi="宋体" w:eastAsia="宋体" w:cs="宋体"/>
                <w:kern w:val="0"/>
                <w:szCs w:val="21"/>
              </w:rPr>
              <w:t>目标函数定义：以收益最大化和风险最小化为双目标，通过动态权衡因子量化两者的权重关系，公式表达为：</w:t>
            </w:r>
            <w:r>
              <w:rPr>
                <w:rFonts w:hint="eastAsia" w:ascii="宋体" w:hAnsi="宋体" w:eastAsia="宋体" w:cs="宋体"/>
                <w:kern w:val="0"/>
                <w:szCs w:val="21"/>
                <w:lang w:val="en-US" w:eastAsia="zh-CN"/>
              </w:rPr>
              <w:t xml:space="preserve"> </w:t>
            </w:r>
            <w:r>
              <w:rPr>
                <w:rFonts w:hint="default" w:ascii="宋体" w:hAnsi="宋体" w:eastAsia="宋体" w:cs="宋体"/>
                <w:kern w:val="0"/>
                <w:szCs w:val="21"/>
              </w:rPr>
              <w:br w:type="textWrapping"/>
            </w:r>
            <w:r>
              <w:rPr>
                <w:rFonts w:hint="eastAsia" w:ascii="宋体" w:hAnsi="宋体" w:eastAsia="宋体" w:cs="宋体"/>
                <w:kern w:val="0"/>
                <w:szCs w:val="21"/>
                <w:lang w:val="en-US" w:eastAsia="zh-CN"/>
              </w:rPr>
              <w:t xml:space="preserve">                </w:t>
            </w:r>
            <w:r>
              <w:rPr>
                <w:rFonts w:hint="default" w:ascii="宋体" w:hAnsi="宋体" w:eastAsia="宋体" w:cs="宋体"/>
                <w:kern w:val="0"/>
                <w:position w:val="-16"/>
                <w:szCs w:val="21"/>
              </w:rPr>
              <w:object>
                <v:shape id="_x0000_i1025" o:spt="75" alt="" type="#_x0000_t75" style="height:23pt;width:125pt;" o:ole="t" filled="f" o:preferrelative="t" stroked="f" coordsize="21600,21600">
                  <v:path/>
                  <v:fill on="f" focussize="0,0"/>
                  <v:stroke on="f"/>
                  <v:imagedata r:id="rId5" o:title=""/>
                  <o:lock v:ext="edit" aspectratio="t"/>
                  <w10:wrap type="none"/>
                  <w10:anchorlock/>
                </v:shape>
                <o:OLEObject Type="Embed" ProgID="Equation.KSEE3" ShapeID="_x0000_i1025" DrawAspect="Content" ObjectID="_1468075725" r:id="rId4">
                  <o:LockedField>false</o:LockedField>
                </o:OLEObject>
              </w:object>
            </w:r>
          </w:p>
          <w:p w14:paraId="0E3B7D6C">
            <w:pPr>
              <w:ind w:firstLine="210" w:firstLineChars="100"/>
              <w:rPr>
                <w:rFonts w:hint="eastAsia" w:ascii="宋体" w:hAnsi="宋体" w:eastAsia="宋体" w:cs="宋体"/>
                <w:kern w:val="0"/>
                <w:szCs w:val="21"/>
                <w:lang w:val="en-US" w:eastAsia="zh-CN"/>
              </w:rPr>
            </w:pPr>
            <w:r>
              <w:rPr>
                <w:rFonts w:hint="default" w:ascii="宋体" w:hAnsi="宋体" w:eastAsia="宋体" w:cs="宋体"/>
                <w:kern w:val="0"/>
                <w:szCs w:val="21"/>
              </w:rPr>
              <w:t>其中</w:t>
            </w:r>
            <w:r>
              <w:rPr>
                <w:rFonts w:hint="eastAsia" w:ascii="宋体" w:hAnsi="宋体" w:eastAsia="宋体" w:cs="宋体"/>
                <w:kern w:val="0"/>
                <w:position w:val="-12"/>
                <w:szCs w:val="21"/>
                <w:lang w:val="en-US" w:eastAsia="zh-CN"/>
              </w:rPr>
              <w:object>
                <v:shape id="_x0000_i1026" o:spt="75" type="#_x0000_t75" style="height:18pt;width:13.95pt;" o:ole="t" filled="f" o:preferrelative="t" stroked="f" coordsize="21600,21600">
                  <v:path/>
                  <v:fill on="f" focussize="0,0"/>
                  <v:stroke on="f"/>
                  <v:imagedata r:id="rId7" o:title=""/>
                  <o:lock v:ext="edit" aspectratio="t"/>
                  <w10:wrap type="none"/>
                  <w10:anchorlock/>
                </v:shape>
                <o:OLEObject Type="Embed" ProgID="Equation.KSEE3" ShapeID="_x0000_i1026" DrawAspect="Content" ObjectID="_1468075726" r:id="rId6">
                  <o:LockedField>false</o:LockedField>
                </o:OLEObject>
              </w:object>
            </w:r>
            <w:r>
              <w:rPr>
                <w:rFonts w:hint="default" w:ascii="宋体" w:hAnsi="宋体" w:eastAsia="宋体" w:cs="宋体"/>
                <w:kern w:val="0"/>
                <w:szCs w:val="21"/>
              </w:rPr>
              <w:t>为资产权重</w:t>
            </w:r>
            <w:r>
              <w:rPr>
                <w:rFonts w:hint="eastAsia" w:ascii="宋体" w:hAnsi="宋体" w:eastAsia="宋体" w:cs="宋体"/>
                <w:kern w:val="0"/>
                <w:szCs w:val="21"/>
                <w:lang w:eastAsia="zh-CN"/>
              </w:rPr>
              <w:t>，</w:t>
            </w:r>
            <w:r>
              <w:rPr>
                <w:rFonts w:hint="default" w:ascii="宋体" w:hAnsi="宋体" w:eastAsia="宋体" w:cs="宋体"/>
                <w:kern w:val="0"/>
                <w:position w:val="-12"/>
                <w:szCs w:val="21"/>
              </w:rPr>
              <w:object>
                <v:shape id="_x0000_i1027" o:spt="75" type="#_x0000_t75" style="height:18pt;width:30.8pt;" o:ole="t" filled="f" o:preferrelative="t" stroked="f" coordsize="21600,21600">
                  <v:path/>
                  <v:fill on="f" focussize="0,0"/>
                  <v:stroke on="f"/>
                  <v:imagedata r:id="rId9" o:title=""/>
                  <o:lock v:ext="edit" aspectratio="t"/>
                  <w10:wrap type="none"/>
                  <w10:anchorlock/>
                </v:shape>
                <o:OLEObject Type="Embed" ProgID="Equation.KSEE3" ShapeID="_x0000_i1027" DrawAspect="Content" ObjectID="_1468075727" r:id="rId8">
                  <o:LockedField>false</o:LockedField>
                </o:OLEObject>
              </w:object>
            </w:r>
            <w:r>
              <w:rPr>
                <w:rFonts w:hint="eastAsia" w:ascii="宋体" w:hAnsi="宋体" w:eastAsia="宋体" w:cs="宋体"/>
                <w:kern w:val="0"/>
                <w:szCs w:val="21"/>
                <w:lang w:val="en-US" w:eastAsia="zh-CN"/>
              </w:rPr>
              <w:t>为t时刻投资组合总期望收</w:t>
            </w:r>
            <w:r>
              <w:rPr>
                <w:rFonts w:hint="eastAsia" w:ascii="宋体" w:hAnsi="宋体" w:cs="宋体"/>
                <w:kern w:val="0"/>
                <w:szCs w:val="21"/>
                <w:lang w:val="en-US" w:eastAsia="zh-CN"/>
              </w:rPr>
              <w:t>。</w:t>
            </w:r>
            <w:r>
              <w:rPr>
                <w:rFonts w:hint="eastAsia" w:ascii="宋体" w:hAnsi="宋体" w:eastAsia="宋体" w:cs="宋体"/>
                <w:kern w:val="0"/>
                <w:szCs w:val="21"/>
                <w:lang w:val="en-US" w:eastAsia="zh-CN"/>
              </w:rPr>
              <w:t>益，</w:t>
            </w:r>
            <w:r>
              <w:rPr>
                <w:rFonts w:hint="default" w:ascii="宋体" w:hAnsi="宋体" w:eastAsia="宋体" w:cs="宋体"/>
                <w:kern w:val="0"/>
                <w:position w:val="-10"/>
                <w:szCs w:val="21"/>
              </w:rPr>
              <w:object>
                <v:shape id="_x0000_i1028" o:spt="75" type="#_x0000_t75" style="height:17pt;width:27.8pt;" o:ole="t" filled="f" o:preferrelative="t" stroked="f" coordsize="21600,21600">
                  <v:path/>
                  <v:fill on="f" focussize="0,0"/>
                  <v:stroke on="f"/>
                  <v:imagedata r:id="rId11" o:title=""/>
                  <o:lock v:ext="edit" aspectratio="t"/>
                  <w10:wrap type="none"/>
                  <w10:anchorlock/>
                </v:shape>
                <o:OLEObject Type="Embed" ProgID="Equation.KSEE3" ShapeID="_x0000_i1028" DrawAspect="Content" ObjectID="_1468075728" r:id="rId10">
                  <o:LockedField>false</o:LockedField>
                </o:OLEObject>
              </w:object>
            </w:r>
            <w:r>
              <w:rPr>
                <w:rFonts w:hint="default" w:ascii="宋体" w:hAnsi="宋体" w:eastAsia="宋体" w:cs="宋体"/>
                <w:kern w:val="0"/>
                <w:szCs w:val="21"/>
              </w:rPr>
              <w:t>资产预期收益率，通过</w:t>
            </w:r>
            <w:r>
              <w:rPr>
                <w:rFonts w:hint="eastAsia" w:ascii="宋体" w:hAnsi="宋体" w:cs="宋体"/>
                <w:kern w:val="0"/>
                <w:szCs w:val="21"/>
                <w:lang w:val="en-US" w:eastAsia="zh-CN"/>
              </w:rPr>
              <w:t>深度学习</w:t>
            </w:r>
            <w:r>
              <w:rPr>
                <w:rFonts w:hint="default" w:ascii="宋体" w:hAnsi="宋体" w:eastAsia="宋体" w:cs="宋体"/>
                <w:kern w:val="0"/>
                <w:szCs w:val="21"/>
              </w:rPr>
              <w:t>网络预测未来K期收益率的均值</w:t>
            </w:r>
            <w:r>
              <w:rPr>
                <w:rFonts w:hint="eastAsia" w:ascii="宋体" w:hAnsi="宋体" w:eastAsia="宋体" w:cs="宋体"/>
                <w:kern w:val="0"/>
                <w:szCs w:val="21"/>
                <w:lang w:eastAsia="zh-CN"/>
              </w:rPr>
              <w:t>。</w:t>
            </w:r>
          </w:p>
          <w:p w14:paraId="3CA6C739">
            <w:pPr>
              <w:ind w:firstLine="1680" w:firstLineChars="800"/>
              <w:rPr>
                <w:rFonts w:hint="eastAsia" w:ascii="宋体" w:hAnsi="宋体" w:eastAsia="宋体" w:cs="宋体"/>
                <w:kern w:val="0"/>
                <w:szCs w:val="21"/>
                <w:lang w:eastAsia="zh-CN"/>
              </w:rPr>
            </w:pPr>
            <w:r>
              <w:rPr>
                <w:rFonts w:hint="eastAsia" w:ascii="宋体" w:hAnsi="宋体" w:eastAsia="宋体" w:cs="宋体"/>
                <w:kern w:val="0"/>
                <w:position w:val="-14"/>
                <w:szCs w:val="21"/>
                <w:lang w:eastAsia="zh-CN"/>
              </w:rPr>
              <w:object>
                <v:shape id="_x0000_i1029" o:spt="75" alt="" type="#_x0000_t75" style="height:19pt;width:261pt;" o:ole="t" filled="f" o:preferrelative="t" stroked="f" coordsize="21600,21600">
                  <v:path/>
                  <v:fill on="f" focussize="0,0"/>
                  <v:stroke on="f"/>
                  <v:imagedata r:id="rId13" o:title=""/>
                  <o:lock v:ext="edit" aspectratio="t"/>
                  <w10:wrap type="none"/>
                  <w10:anchorlock/>
                </v:shape>
                <o:OLEObject Type="Embed" ProgID="Equation.KSEE3" ShapeID="_x0000_i1029" DrawAspect="Content" ObjectID="_1468075729" r:id="rId12">
                  <o:LockedField>false</o:LockedField>
                </o:OLEObject>
              </w:object>
            </w:r>
          </w:p>
          <w:p w14:paraId="412721E0">
            <w:pPr>
              <w:ind w:firstLine="210" w:firstLineChars="100"/>
              <w:rPr>
                <w:rFonts w:hint="default" w:ascii="宋体" w:hAnsi="宋体" w:eastAsia="宋体" w:cs="宋体"/>
                <w:kern w:val="0"/>
                <w:szCs w:val="21"/>
              </w:rPr>
            </w:pPr>
            <w:r>
              <w:rPr>
                <w:rFonts w:hint="default" w:ascii="宋体" w:hAnsi="宋体" w:eastAsia="宋体" w:cs="宋体"/>
                <w:kern w:val="0"/>
                <w:szCs w:val="21"/>
              </w:rPr>
              <w:t>其</w:t>
            </w:r>
            <w:r>
              <w:rPr>
                <w:rFonts w:hint="eastAsia" w:ascii="宋体" w:hAnsi="宋体" w:eastAsia="宋体" w:cs="宋体"/>
                <w:kern w:val="0"/>
                <w:szCs w:val="21"/>
                <w:lang w:val="en-US" w:eastAsia="zh-CN"/>
              </w:rPr>
              <w:t>中</w:t>
            </w:r>
            <w:r>
              <w:rPr>
                <w:rFonts w:hint="default" w:eastAsia="宋体" w:cs="宋体" w:asciiTheme="majorAscii" w:hAnsiTheme="majorAscii"/>
                <w:kern w:val="0"/>
                <w:szCs w:val="21"/>
                <w:lang w:val="en-US" w:eastAsia="zh-CN"/>
              </w:rPr>
              <w:t>α、β、γ</w:t>
            </w:r>
            <w:r>
              <w:rPr>
                <w:rFonts w:hint="eastAsia" w:eastAsia="宋体" w:cs="宋体" w:asciiTheme="majorAscii" w:hAnsiTheme="majorAscii"/>
                <w:kern w:val="0"/>
                <w:szCs w:val="21"/>
                <w:lang w:val="en-US" w:eastAsia="zh-CN"/>
              </w:rPr>
              <w:t xml:space="preserve"> 为自适应风险权重系数，</w:t>
            </w:r>
            <w:r>
              <w:rPr>
                <w:rFonts w:hint="eastAsia" w:ascii="宋体" w:hAnsi="宋体" w:eastAsia="宋体" w:cs="宋体"/>
                <w:kern w:val="0"/>
                <w:position w:val="-14"/>
                <w:szCs w:val="21"/>
                <w:lang w:eastAsia="zh-CN"/>
              </w:rPr>
              <w:object>
                <v:shape id="_x0000_i1030" o:spt="75" type="#_x0000_t75" style="height:19pt;width:54pt;" o:ole="t" filled="f" o:preferrelative="t" stroked="f" coordsize="21600,21600">
                  <v:path/>
                  <v:fill on="f" focussize="0,0"/>
                  <v:stroke on="f"/>
                  <v:imagedata r:id="rId15" o:title=""/>
                  <o:lock v:ext="edit" aspectratio="t"/>
                  <w10:wrap type="none"/>
                  <w10:anchorlock/>
                </v:shape>
                <o:OLEObject Type="Embed" ProgID="Equation.KSEE3" ShapeID="_x0000_i1030" DrawAspect="Content" ObjectID="_1468075730" r:id="rId14">
                  <o:LockedField>false</o:LockedField>
                </o:OLEObject>
              </w:object>
            </w:r>
            <w:r>
              <w:rPr>
                <w:rFonts w:hint="eastAsia" w:ascii="宋体" w:hAnsi="宋体" w:eastAsia="宋体" w:cs="宋体"/>
                <w:kern w:val="0"/>
                <w:szCs w:val="21"/>
                <w:lang w:val="en-US" w:eastAsia="zh-CN"/>
              </w:rPr>
              <w:t>为综合风险量化指标，VaR、OpRisk、AgencyRisk分别为市场风险指标、操作风险指标、委托代理风险指标</w:t>
            </w:r>
            <w:r>
              <w:rPr>
                <w:rFonts w:hint="default" w:ascii="宋体" w:hAnsi="宋体" w:eastAsia="宋体" w:cs="宋体"/>
                <w:kern w:val="0"/>
                <w:szCs w:val="21"/>
              </w:rPr>
              <w:t>。</w:t>
            </w:r>
          </w:p>
          <w:p w14:paraId="3AB23DF4">
            <w:pPr>
              <w:rPr>
                <w:rFonts w:hint="eastAsia" w:ascii="宋体" w:hAnsi="宋体" w:eastAsia="宋体" w:cs="宋体"/>
                <w:kern w:val="0"/>
                <w:szCs w:val="21"/>
                <w:lang w:eastAsia="zh-CN"/>
              </w:rPr>
            </w:pPr>
            <w:r>
              <w:rPr>
                <w:rFonts w:hint="eastAsia" w:ascii="宋体" w:hAnsi="宋体" w:eastAsia="宋体" w:cs="宋体"/>
                <w:kern w:val="0"/>
                <w:szCs w:val="21"/>
                <w:lang w:eastAsia="zh-CN"/>
              </w:rPr>
              <w:drawing>
                <wp:inline distT="0" distB="0" distL="114300" distR="114300">
                  <wp:extent cx="5264150" cy="1096645"/>
                  <wp:effectExtent l="0" t="0" r="6350" b="8255"/>
                  <wp:docPr id="7" name="图片 7" descr="公式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公式关联"/>
                          <pic:cNvPicPr>
                            <a:picLocks noChangeAspect="1"/>
                          </pic:cNvPicPr>
                        </pic:nvPicPr>
                        <pic:blipFill>
                          <a:blip r:embed="rId16"/>
                          <a:srcRect/>
                          <a:stretch>
                            <a:fillRect/>
                          </a:stretch>
                        </pic:blipFill>
                        <pic:spPr>
                          <a:xfrm>
                            <a:off x="0" y="0"/>
                            <a:ext cx="5264150" cy="1096645"/>
                          </a:xfrm>
                          <a:prstGeom prst="rect">
                            <a:avLst/>
                          </a:prstGeom>
                        </pic:spPr>
                      </pic:pic>
                    </a:graphicData>
                  </a:graphic>
                </wp:inline>
              </w:drawing>
            </w:r>
          </w:p>
          <w:p w14:paraId="57EBFD60">
            <w:pPr>
              <w:ind w:firstLine="210" w:firstLineChars="100"/>
              <w:rPr>
                <w:rFonts w:hint="eastAsia" w:ascii="宋体" w:hAnsi="宋体" w:eastAsia="宋体" w:cs="宋体"/>
                <w:kern w:val="0"/>
                <w:szCs w:val="21"/>
                <w:lang w:eastAsia="zh-CN"/>
              </w:rPr>
            </w:pPr>
            <w:r>
              <w:rPr>
                <w:rFonts w:hint="default" w:ascii="宋体" w:hAnsi="宋体" w:eastAsia="宋体" w:cs="宋体"/>
                <w:kern w:val="0"/>
                <w:szCs w:val="21"/>
              </w:rPr>
              <w:t>该函数体系通过多目标耦合与动态参数机制，解决了传统模型在“长期收益持续性”与“多维度风险覆盖”之间的权衡难题，是企业年金智能决策的核心量化基础</w:t>
            </w:r>
            <w:r>
              <w:rPr>
                <w:rFonts w:hint="eastAsia" w:ascii="宋体" w:hAnsi="宋体" w:eastAsia="宋体" w:cs="宋体"/>
                <w:kern w:val="0"/>
                <w:szCs w:val="21"/>
                <w:lang w:eastAsia="zh-CN"/>
              </w:rPr>
              <w:t>。</w:t>
            </w:r>
          </w:p>
          <w:p w14:paraId="6FC3FB63">
            <w:pPr>
              <w:ind w:firstLine="210" w:firstLineChars="100"/>
              <w:rPr>
                <w:rFonts w:hint="eastAsia" w:ascii="宋体" w:hAnsi="宋体" w:eastAsia="宋体" w:cs="宋体"/>
                <w:kern w:val="0"/>
                <w:szCs w:val="21"/>
                <w:lang w:eastAsia="zh-CN"/>
              </w:rPr>
            </w:pPr>
            <w:r>
              <w:rPr>
                <w:rFonts w:hint="default" w:ascii="宋体" w:hAnsi="宋体" w:eastAsia="宋体" w:cs="宋体"/>
                <w:kern w:val="0"/>
                <w:szCs w:val="21"/>
              </w:rPr>
              <w:t>GAN驱动的模糊优化</w:t>
            </w:r>
            <w:r>
              <w:rPr>
                <w:rFonts w:hint="eastAsia" w:ascii="宋体" w:hAnsi="宋体" w:eastAsia="宋体" w:cs="宋体"/>
                <w:kern w:val="0"/>
                <w:szCs w:val="21"/>
                <w:lang w:eastAsia="zh-CN"/>
              </w:rPr>
              <w:t>：</w:t>
            </w:r>
          </w:p>
          <w:p w14:paraId="33D56430">
            <w:pPr>
              <w:ind w:firstLine="210" w:firstLineChars="100"/>
              <w:rPr>
                <w:rFonts w:hint="default" w:ascii="宋体" w:hAnsi="宋体" w:eastAsia="宋体" w:cs="宋体"/>
                <w:kern w:val="0"/>
                <w:szCs w:val="21"/>
              </w:rPr>
            </w:pPr>
            <w:r>
              <w:rPr>
                <w:rFonts w:hint="default" w:ascii="宋体" w:hAnsi="宋体" w:eastAsia="宋体" w:cs="宋体"/>
                <w:kern w:val="0"/>
                <w:szCs w:val="21"/>
              </w:rPr>
              <w:t>生成器G</w:t>
            </w:r>
            <w:r>
              <w:rPr>
                <w:rFonts w:hint="eastAsia" w:ascii="宋体" w:hAnsi="宋体" w:eastAsia="宋体" w:cs="宋体"/>
                <w:kern w:val="0"/>
                <w:szCs w:val="21"/>
                <w:lang w:eastAsia="zh-CN"/>
              </w:rPr>
              <w:t>：输出资产配置方案权重矩阵</w:t>
            </w:r>
            <w:r>
              <w:rPr>
                <w:rFonts w:hint="default" w:ascii="宋体" w:hAnsi="宋体" w:eastAsia="宋体" w:cs="宋体"/>
                <w:kern w:val="0"/>
                <w:szCs w:val="21"/>
              </w:rPr>
              <w:t>。</w:t>
            </w:r>
          </w:p>
          <w:p w14:paraId="75131BF5">
            <w:pPr>
              <w:ind w:firstLine="210" w:firstLineChars="100"/>
              <w:rPr>
                <w:rFonts w:hint="eastAsia" w:ascii="宋体" w:hAnsi="宋体" w:eastAsia="宋体" w:cs="宋体"/>
                <w:kern w:val="0"/>
                <w:szCs w:val="21"/>
              </w:rPr>
            </w:pPr>
            <w:r>
              <w:rPr>
                <w:rFonts w:hint="eastAsia" w:ascii="宋体" w:hAnsi="宋体" w:eastAsia="宋体" w:cs="宋体"/>
                <w:kern w:val="0"/>
                <w:szCs w:val="21"/>
                <w:lang w:eastAsia="zh-CN"/>
              </w:rPr>
              <w:t>判别器D：评估方案在历史市场情景下的收益/风险表现</w:t>
            </w:r>
            <w:r>
              <w:rPr>
                <w:rFonts w:hint="default" w:ascii="宋体" w:hAnsi="宋体" w:eastAsia="宋体" w:cs="宋体"/>
                <w:kern w:val="0"/>
                <w:szCs w:val="21"/>
              </w:rPr>
              <w:t>。</w:t>
            </w:r>
          </w:p>
          <w:p w14:paraId="1349F1C6">
            <w:pPr>
              <w:ind w:firstLine="210" w:firstLineChars="100"/>
              <w:rPr>
                <w:rFonts w:hint="default" w:ascii="宋体" w:hAnsi="宋体" w:eastAsia="宋体" w:cs="宋体"/>
                <w:kern w:val="0"/>
                <w:szCs w:val="21"/>
              </w:rPr>
            </w:pPr>
            <w:r>
              <w:rPr>
                <w:rFonts w:hint="eastAsia" w:ascii="宋体" w:hAnsi="宋体" w:eastAsia="宋体" w:cs="宋体"/>
                <w:kern w:val="0"/>
                <w:szCs w:val="21"/>
                <w:lang w:eastAsia="zh-CN"/>
              </w:rPr>
              <w:t>对抗训练目标：使G生成的方案在D评估中超越历史最优策略</w:t>
            </w:r>
            <w:r>
              <w:rPr>
                <w:rFonts w:hint="default" w:ascii="宋体" w:hAnsi="宋体" w:eastAsia="宋体" w:cs="宋体"/>
                <w:kern w:val="0"/>
                <w:szCs w:val="21"/>
              </w:rPr>
              <w:t>。</w:t>
            </w:r>
          </w:p>
          <w:p w14:paraId="54983C6E">
            <w:pPr>
              <w:ind w:firstLine="210" w:firstLineChars="100"/>
              <w:rPr>
                <w:rFonts w:hint="default" w:ascii="宋体" w:hAnsi="宋体" w:eastAsia="宋体" w:cs="宋体"/>
                <w:kern w:val="0"/>
                <w:szCs w:val="21"/>
              </w:rPr>
            </w:pPr>
          </w:p>
          <w:p w14:paraId="3E4B7BC1">
            <w:pPr>
              <w:ind w:firstLine="210" w:firstLineChars="100"/>
              <w:rPr>
                <w:rFonts w:hint="default" w:ascii="宋体" w:hAnsi="宋体" w:eastAsia="宋体" w:cs="宋体"/>
                <w:kern w:val="0"/>
                <w:szCs w:val="21"/>
                <w:lang w:val="en-US" w:eastAsia="zh-CN"/>
              </w:rPr>
            </w:pPr>
            <w:r>
              <w:rPr>
                <w:rFonts w:hint="eastAsia" w:ascii="宋体" w:hAnsi="宋体" w:eastAsia="宋体" w:cs="宋体"/>
                <w:kern w:val="0"/>
                <w:szCs w:val="21"/>
                <w:lang w:val="en-US" w:eastAsia="zh-CN"/>
              </w:rPr>
              <w:t>4.</w:t>
            </w:r>
            <w:r>
              <w:rPr>
                <w:rFonts w:hint="eastAsia" w:ascii="宋体" w:hAnsi="宋体" w:eastAsia="宋体" w:cs="宋体"/>
                <w:kern w:val="0"/>
                <w:szCs w:val="21"/>
                <w:lang w:eastAsia="zh-CN"/>
              </w:rPr>
              <w:t>生成器 G：基于 Transformer的时序投资组合生成网络</w:t>
            </w:r>
          </w:p>
          <w:p w14:paraId="18082592">
            <w:pPr>
              <w:ind w:firstLine="210" w:firstLineChars="100"/>
              <w:rPr>
                <w:rFonts w:ascii="宋体" w:hAnsi="宋体" w:eastAsia="宋体" w:cs="宋体"/>
                <w:sz w:val="24"/>
                <w:szCs w:val="24"/>
              </w:rPr>
            </w:pPr>
            <w:r>
              <w:t>输入形态：对每一交易日 t，为股票集合 {i=1..N} 构造张量 X_t ∈ R^{N×T×D}。G 针对单个资产子序列 X_t^(i) 产生预测得分/收益分布参数，并经可微分的权重映射得到组合权重 w_i</w:t>
            </w:r>
            <w:r>
              <w:rPr>
                <w:rFonts w:ascii="宋体" w:hAnsi="宋体" w:eastAsia="宋体" w:cs="宋体"/>
                <w:sz w:val="24"/>
                <w:szCs w:val="24"/>
              </w:rPr>
              <w:t>。</w:t>
            </w:r>
          </w:p>
          <w:p w14:paraId="1B8ADD17">
            <w:pPr>
              <w:ind w:firstLine="240" w:firstLineChars="100"/>
              <w:rPr>
                <w:rFonts w:ascii="宋体" w:hAnsi="宋体" w:eastAsia="宋体" w:cs="宋体"/>
                <w:sz w:val="24"/>
                <w:szCs w:val="24"/>
              </w:rPr>
            </w:pPr>
          </w:p>
          <w:p w14:paraId="3014991E">
            <w:pPr>
              <w:ind w:firstLine="210" w:firstLineChars="100"/>
              <w:rPr>
                <w:rFonts w:ascii="Times New Roman" w:hAnsi="Times New Roman" w:eastAsia="宋体" w:cs="Times New Roman"/>
                <w:kern w:val="2"/>
                <w:sz w:val="21"/>
                <w:szCs w:val="22"/>
                <w:lang w:val="en-US" w:eastAsia="zh-CN" w:bidi="ar-SA"/>
              </w:rPr>
            </w:pPr>
            <w:r>
              <w:rPr>
                <w:rFonts w:ascii="Times New Roman" w:hAnsi="Times New Roman" w:eastAsia="宋体" w:cs="Times New Roman"/>
                <w:kern w:val="2"/>
                <w:sz w:val="21"/>
                <w:szCs w:val="22"/>
                <w:lang w:val="en-US" w:eastAsia="zh-CN" w:bidi="ar-SA"/>
              </w:rPr>
              <w:t>核心结构（</w:t>
            </w:r>
            <w:r>
              <w:rPr>
                <w:rFonts w:hint="eastAsia" w:ascii="Times New Roman" w:hAnsi="Times New Roman" w:eastAsia="宋体" w:cs="Times New Roman"/>
                <w:kern w:val="2"/>
                <w:sz w:val="21"/>
                <w:szCs w:val="22"/>
                <w:lang w:val="en-US" w:eastAsia="zh-CN" w:bidi="ar-SA"/>
              </w:rPr>
              <w:t>Transformer</w:t>
            </w:r>
            <w:r>
              <w:rPr>
                <w:rFonts w:ascii="Times New Roman" w:hAnsi="Times New Roman" w:eastAsia="宋体" w:cs="Times New Roman"/>
                <w:kern w:val="2"/>
                <w:sz w:val="21"/>
                <w:szCs w:val="22"/>
                <w:lang w:val="en-US" w:eastAsia="zh-CN" w:bidi="ar-SA"/>
              </w:rPr>
              <w:t>）：</w:t>
            </w:r>
          </w:p>
          <w:p w14:paraId="6F45008E">
            <w:pPr>
              <w:pStyle w:val="10"/>
              <w:keepNext w:val="0"/>
              <w:keepLines w:val="0"/>
              <w:widowControl/>
              <w:numPr>
                <w:ilvl w:val="0"/>
                <w:numId w:val="1"/>
              </w:numPr>
              <w:suppressLineNumbers w:val="0"/>
              <w:ind w:left="418" w:leftChars="104" w:hanging="200" w:firstLineChars="0"/>
              <w:rPr>
                <w:rFonts w:ascii="Times New Roman" w:hAnsi="Times New Roman" w:eastAsia="宋体" w:cs="Times New Roman"/>
                <w:kern w:val="2"/>
                <w:sz w:val="21"/>
                <w:szCs w:val="22"/>
                <w:lang w:val="en-US" w:eastAsia="zh-CN" w:bidi="ar-SA"/>
              </w:rPr>
            </w:pPr>
            <w:r>
              <w:rPr>
                <w:rFonts w:ascii="Times New Roman" w:hAnsi="Times New Roman" w:eastAsia="宋体" w:cs="Times New Roman"/>
                <w:kern w:val="2"/>
                <w:sz w:val="21"/>
                <w:szCs w:val="22"/>
                <w:lang w:val="en-US" w:eastAsia="zh-CN" w:bidi="ar-SA"/>
              </w:rPr>
              <w:t>Patch-Embed：滑窗分块并投影至隐藏维；</w:t>
            </w:r>
          </w:p>
          <w:p w14:paraId="625323C0">
            <w:pPr>
              <w:pStyle w:val="10"/>
              <w:keepNext w:val="0"/>
              <w:keepLines w:val="0"/>
              <w:widowControl/>
              <w:numPr>
                <w:ilvl w:val="0"/>
                <w:numId w:val="1"/>
              </w:numPr>
              <w:suppressLineNumbers w:val="0"/>
              <w:ind w:left="418" w:leftChars="104" w:hanging="200" w:firstLineChars="0"/>
              <w:rPr>
                <w:rFonts w:ascii="Times New Roman" w:hAnsi="Times New Roman" w:eastAsia="宋体" w:cs="Times New Roman"/>
                <w:kern w:val="2"/>
                <w:sz w:val="21"/>
                <w:szCs w:val="22"/>
                <w:lang w:val="en-US" w:eastAsia="zh-CN" w:bidi="ar-SA"/>
              </w:rPr>
            </w:pPr>
            <w:r>
              <w:rPr>
                <w:rFonts w:ascii="Times New Roman" w:hAnsi="Times New Roman" w:eastAsia="宋体" w:cs="Times New Roman"/>
                <w:kern w:val="2"/>
                <w:sz w:val="21"/>
                <w:szCs w:val="22"/>
                <w:lang w:val="en-US" w:eastAsia="zh-CN" w:bidi="ar-SA"/>
              </w:rPr>
              <w:t>位置编码：RoPE/RPB 在长序列高噪声下更稳健；</w:t>
            </w:r>
          </w:p>
          <w:p w14:paraId="77CCB6BA">
            <w:pPr>
              <w:pStyle w:val="10"/>
              <w:keepNext w:val="0"/>
              <w:keepLines w:val="0"/>
              <w:widowControl/>
              <w:numPr>
                <w:ilvl w:val="0"/>
                <w:numId w:val="1"/>
              </w:numPr>
              <w:suppressLineNumbers w:val="0"/>
              <w:ind w:left="418" w:leftChars="104" w:hanging="200" w:firstLineChars="0"/>
              <w:rPr>
                <w:rFonts w:ascii="Times New Roman" w:hAnsi="Times New Roman" w:eastAsia="宋体" w:cs="Times New Roman"/>
                <w:kern w:val="2"/>
                <w:sz w:val="21"/>
                <w:szCs w:val="22"/>
                <w:lang w:val="en-US" w:eastAsia="zh-CN" w:bidi="ar-SA"/>
              </w:rPr>
            </w:pPr>
            <w:r>
              <w:rPr>
                <w:rFonts w:ascii="Times New Roman" w:hAnsi="Times New Roman" w:eastAsia="宋体" w:cs="Times New Roman"/>
                <w:kern w:val="2"/>
                <w:sz w:val="21"/>
                <w:szCs w:val="22"/>
                <w:lang w:val="en-US" w:eastAsia="zh-CN" w:bidi="ar-SA"/>
              </w:rPr>
              <w:t>Transformer Encoder：6 层，4 头注意力，PreNorm，dropout/attn_dropout 合理设定；</w:t>
            </w:r>
          </w:p>
          <w:p w14:paraId="7F807481">
            <w:pPr>
              <w:pStyle w:val="10"/>
              <w:keepNext w:val="0"/>
              <w:keepLines w:val="0"/>
              <w:widowControl/>
              <w:numPr>
                <w:ilvl w:val="0"/>
                <w:numId w:val="1"/>
              </w:numPr>
              <w:suppressLineNumbers w:val="0"/>
              <w:ind w:left="418" w:leftChars="104" w:hanging="200" w:firstLineChars="0"/>
              <w:rPr>
                <w:rFonts w:ascii="Times New Roman" w:hAnsi="Times New Roman" w:eastAsia="宋体" w:cs="Times New Roman"/>
                <w:kern w:val="2"/>
                <w:sz w:val="21"/>
                <w:szCs w:val="22"/>
                <w:lang w:val="en-US" w:eastAsia="zh-CN" w:bidi="ar-SA"/>
              </w:rPr>
            </w:pPr>
            <w:r>
              <w:rPr>
                <w:rFonts w:ascii="Times New Roman" w:hAnsi="Times New Roman" w:eastAsia="宋体" w:cs="Times New Roman"/>
                <w:kern w:val="2"/>
                <w:sz w:val="21"/>
                <w:szCs w:val="22"/>
                <w:lang w:val="en-US" w:eastAsia="zh-CN" w:bidi="ar-SA"/>
              </w:rPr>
              <w:t>稳定输出头：cosine_mean 头 + 横截面 BatchNorm1d（无学习参数、无 running stats），提升分布漂移下的稳定性；</w:t>
            </w:r>
          </w:p>
          <w:p w14:paraId="160AFA7F">
            <w:pPr>
              <w:pStyle w:val="10"/>
              <w:keepNext w:val="0"/>
              <w:keepLines w:val="0"/>
              <w:widowControl/>
              <w:numPr>
                <w:ilvl w:val="0"/>
                <w:numId w:val="1"/>
              </w:numPr>
              <w:suppressLineNumbers w:val="0"/>
              <w:ind w:left="418" w:leftChars="104" w:hanging="200" w:firstLineChars="0"/>
              <w:rPr>
                <w:rFonts w:hint="eastAsia" w:ascii="宋体" w:hAnsi="宋体" w:eastAsia="宋体" w:cs="宋体"/>
                <w:kern w:val="0"/>
                <w:szCs w:val="21"/>
                <w:lang w:eastAsia="zh-CN"/>
              </w:rPr>
            </w:pPr>
            <w:r>
              <w:rPr>
                <w:rFonts w:ascii="Times New Roman" w:hAnsi="Times New Roman" w:eastAsia="宋体" w:cs="Times New Roman"/>
                <w:kern w:val="2"/>
                <w:sz w:val="21"/>
                <w:szCs w:val="22"/>
                <w:lang w:val="en-US" w:eastAsia="zh-CN" w:bidi="ar-SA"/>
              </w:rPr>
              <w:t>正则化：TokenDrop/DropPath 按需开启。</w:t>
            </w:r>
            <w:r>
              <w:rPr>
                <w:rFonts w:ascii="Times New Roman" w:hAnsi="Times New Roman" w:eastAsia="宋体" w:cs="Times New Roman"/>
                <w:kern w:val="2"/>
                <w:sz w:val="21"/>
                <w:szCs w:val="22"/>
                <w:lang w:val="en-US" w:eastAsia="zh-CN" w:bidi="ar-SA"/>
              </w:rPr>
              <w:br w:type="textWrapping"/>
            </w:r>
            <w:r>
              <w:rPr>
                <w:rFonts w:ascii="Times New Roman" w:hAnsi="Times New Roman" w:eastAsia="宋体" w:cs="Times New Roman"/>
                <w:kern w:val="2"/>
                <w:sz w:val="21"/>
                <w:szCs w:val="22"/>
                <w:lang w:val="en-US" w:eastAsia="zh-CN" w:bidi="ar-SA"/>
              </w:rPr>
              <w:t xml:space="preserve">上述结构来自现有系统主力模型 </w:t>
            </w:r>
            <w:r>
              <w:rPr>
                <w:rFonts w:hint="eastAsia" w:ascii="Times New Roman" w:hAnsi="Times New Roman" w:eastAsia="宋体" w:cs="Times New Roman"/>
                <w:kern w:val="2"/>
                <w:sz w:val="21"/>
                <w:szCs w:val="22"/>
                <w:lang w:val="en-US" w:eastAsia="zh-CN" w:bidi="ar-SA"/>
              </w:rPr>
              <w:t>Transformer</w:t>
            </w:r>
            <w:r>
              <w:rPr>
                <w:rFonts w:ascii="Times New Roman" w:hAnsi="Times New Roman" w:eastAsia="宋体" w:cs="Times New Roman"/>
                <w:kern w:val="2"/>
                <w:sz w:val="21"/>
                <w:szCs w:val="22"/>
                <w:lang w:val="en-US" w:eastAsia="zh-CN" w:bidi="ar-SA"/>
              </w:rPr>
              <w:t>的可复用实现</w:t>
            </w:r>
          </w:p>
          <w:p w14:paraId="10F200C9">
            <w:pPr>
              <w:bidi w:val="0"/>
              <w:ind w:left="218" w:leftChars="104" w:firstLine="0" w:firstLineChars="0"/>
              <w:rPr>
                <w:rFonts w:hint="eastAsia"/>
                <w:lang w:val="en-US" w:eastAsia="zh-CN"/>
              </w:rPr>
            </w:pPr>
            <w:r>
              <w:rPr>
                <w:rFonts w:hint="eastAsia"/>
                <w:lang w:eastAsia="zh-CN"/>
              </w:rPr>
              <w:br w:type="textWrapping"/>
            </w:r>
            <w:r>
              <w:rPr>
                <w:rFonts w:hint="eastAsia"/>
                <w:lang w:val="en-US" w:eastAsia="zh-CN"/>
              </w:rPr>
              <w:t>从“得分”到“权重”的可微分映射：</w:t>
            </w:r>
          </w:p>
          <w:p w14:paraId="1D677742">
            <w:pPr>
              <w:bidi w:val="0"/>
              <w:ind w:left="218" w:leftChars="104" w:firstLine="0" w:firstLineChars="0"/>
              <w:rPr>
                <w:rFonts w:hint="eastAsia"/>
                <w:lang w:val="en-US" w:eastAsia="zh-CN"/>
              </w:rPr>
            </w:pPr>
            <w:r>
              <w:rPr>
                <w:rFonts w:hint="eastAsia"/>
                <w:lang w:val="en-US" w:eastAsia="zh-CN"/>
              </w:rPr>
              <w:t>先得到横截面预测分数 z_i，再通过 softmax 与可行域投影 Π_Ω(·) 获得合规权重。</w:t>
            </w:r>
          </w:p>
          <w:p w14:paraId="239C2832">
            <w:pPr>
              <w:jc w:val="left"/>
              <m:rPr/>
              <w:rPr>
                <w:i w:val="0"/>
              </w:rPr>
            </w:pPr>
            <m:oMathPara>
              <m:oMath>
                <m:r>
                  <m:rPr/>
                  <m:t>tilde{w}_i = exp( eta ∗ z_i ) / sum_{j} exp( eta ∗ z_j )</m:t>
                </m:r>
              </m:oMath>
            </m:oMathPara>
          </w:p>
          <w:p w14:paraId="2D60CDF0">
            <w:pPr>
              <w:jc w:val="left"/>
            </w:pPr>
            <m:oMathPara>
              <m:oMath>
                <m:r>
                  <m:rPr/>
                  <m:t>w = Pi_{Omega} ( tilde{w} )</m:t>
                </m:r>
              </m:oMath>
            </m:oMathPara>
          </w:p>
          <w:p w14:paraId="17E4554D">
            <w:pPr>
              <w:jc w:val="left"/>
              <m:rPr/>
              <w:rPr>
                <w:i w:val="0"/>
              </w:rPr>
            </w:pPr>
          </w:p>
          <w:p w14:paraId="52DD9A19">
            <w:pPr>
              <w:ind w:firstLine="210" w:firstLineChars="100"/>
              <w:rPr>
                <w:rFonts w:hint="default" w:ascii="宋体" w:hAnsi="宋体" w:eastAsia="宋体" w:cs="宋体"/>
                <w:kern w:val="0"/>
                <w:szCs w:val="21"/>
              </w:rPr>
            </w:pPr>
            <w:r>
              <w:rPr>
                <w:rFonts w:hint="default" w:ascii="宋体" w:hAnsi="宋体" w:eastAsia="宋体" w:cs="宋体"/>
                <w:kern w:val="0"/>
                <w:szCs w:val="21"/>
              </w:rPr>
              <w:t>预训练目标（排序为主）：以横截面相关损失（wIC，corr 模式，配合 Huber/分位偏置稳健项）在训练集上预训练，使预测分数与 label_adj 的相关性最大化。</w:t>
            </w:r>
          </w:p>
          <w:p w14:paraId="02928F32">
            <w:pPr>
              <w:bidi w:val="0"/>
              <w:ind w:left="218" w:leftChars="104" w:firstLine="0" w:firstLineChars="0"/>
              <w:rPr>
                <w:rFonts w:hint="eastAsia"/>
                <w:lang w:val="en-US" w:eastAsia="zh-CN"/>
              </w:rPr>
            </w:pPr>
          </w:p>
          <w:p w14:paraId="4F8D4FD5">
            <w:pPr>
              <w:ind w:firstLine="210" w:firstLineChars="100"/>
              <w:rPr>
                <w:rFonts w:hint="default" w:ascii="宋体" w:hAnsi="宋体" w:eastAsia="宋体" w:cs="宋体"/>
                <w:kern w:val="0"/>
                <w:sz w:val="21"/>
                <w:szCs w:val="21"/>
                <w:lang w:val="en-US" w:eastAsia="zh-CN"/>
              </w:rPr>
            </w:pPr>
            <w:r>
              <w:rPr>
                <w:rFonts w:hint="eastAsia" w:ascii="宋体" w:hAnsi="宋体" w:cs="宋体"/>
                <w:sz w:val="21"/>
                <w:szCs w:val="21"/>
                <w:lang w:val="en-US" w:eastAsia="zh-CN"/>
              </w:rPr>
              <w:t>5.判别器 D：基于历史情景的收益–风险对抗评估器</w:t>
            </w:r>
          </w:p>
          <w:p w14:paraId="534F6376">
            <w:pPr>
              <w:pStyle w:val="10"/>
              <w:keepNext w:val="0"/>
              <w:keepLines w:val="0"/>
              <w:widowControl/>
              <w:suppressLineNumbers w:val="0"/>
              <w:ind w:left="0" w:leftChars="0" w:firstLine="218" w:firstLineChars="104"/>
              <w:rPr>
                <w:rFonts w:hint="default" w:ascii="宋体" w:hAnsi="宋体" w:eastAsia="宋体" w:cs="宋体"/>
                <w:kern w:val="0"/>
                <w:sz w:val="21"/>
                <w:szCs w:val="21"/>
                <w:lang w:val="en-US" w:eastAsia="zh-CN" w:bidi="ar-SA"/>
              </w:rPr>
            </w:pPr>
            <w:r>
              <w:rPr>
                <w:rFonts w:hint="default" w:ascii="宋体" w:hAnsi="宋体" w:eastAsia="宋体" w:cs="宋体"/>
                <w:kern w:val="0"/>
                <w:sz w:val="21"/>
                <w:szCs w:val="21"/>
                <w:lang w:val="en-US" w:eastAsia="zh-CN" w:bidi="ar-SA"/>
              </w:rPr>
              <w:t>D 接受 (X_t, w) 的组合描述（含生成权重、组合因子暴露、预测收益片段、历史实得收益片段及风险特征），输出质量评分 Q_t∈[0,1]，衡量所生成方案相对历史基准/候选的支配性。</w:t>
            </w:r>
            <w:r>
              <w:rPr>
                <w:rFonts w:hint="default" w:ascii="宋体" w:hAnsi="宋体" w:eastAsia="宋体" w:cs="宋体"/>
                <w:kern w:val="0"/>
                <w:sz w:val="21"/>
                <w:szCs w:val="21"/>
                <w:lang w:val="en-US" w:eastAsia="zh-CN" w:bidi="ar-SA"/>
              </w:rPr>
              <w:t>。</w:t>
            </w:r>
          </w:p>
          <w:p w14:paraId="21934198">
            <w:pPr>
              <w:pStyle w:val="10"/>
              <w:keepNext w:val="0"/>
              <w:keepLines w:val="0"/>
              <w:widowControl/>
              <w:numPr>
                <w:ilvl w:val="0"/>
                <w:numId w:val="1"/>
              </w:numPr>
              <w:suppressLineNumbers w:val="0"/>
              <w:ind w:left="199" w:leftChars="0" w:hanging="199" w:hangingChars="95"/>
              <w:rPr>
                <w:rFonts w:hint="default" w:ascii="宋体" w:hAnsi="宋体" w:eastAsia="宋体" w:cs="宋体"/>
                <w:kern w:val="0"/>
                <w:sz w:val="21"/>
                <w:szCs w:val="21"/>
                <w:lang w:val="en-US" w:eastAsia="zh-CN" w:bidi="ar-SA"/>
              </w:rPr>
            </w:pPr>
            <w:r>
              <w:rPr>
                <w:rFonts w:hint="default" w:ascii="宋体" w:hAnsi="宋体" w:eastAsia="宋体" w:cs="宋体"/>
                <w:kern w:val="0"/>
                <w:sz w:val="21"/>
                <w:szCs w:val="21"/>
                <w:lang w:val="en-US" w:eastAsia="zh-CN" w:bidi="ar-SA"/>
              </w:rPr>
              <w:t>样本构造：正样本可选用在历史区间内 受约束的最优/次优参考组合（如受同样权重与换手约束下的 ex-post 最优），负样本为随机/启发式组合或历史基线策略（等权、市值加权等）。</w:t>
            </w:r>
          </w:p>
          <w:p w14:paraId="772549C4">
            <w:pPr>
              <w:pStyle w:val="10"/>
              <w:keepNext w:val="0"/>
              <w:keepLines w:val="0"/>
              <w:widowControl/>
              <w:numPr>
                <w:ilvl w:val="0"/>
                <w:numId w:val="1"/>
              </w:numPr>
              <w:suppressLineNumbers w:val="0"/>
              <w:ind w:left="199" w:leftChars="0" w:hanging="199" w:hangingChars="95"/>
              <w:rPr>
                <w:rFonts w:hint="default" w:ascii="宋体" w:hAnsi="宋体" w:eastAsia="宋体" w:cs="宋体"/>
                <w:kern w:val="0"/>
                <w:sz w:val="21"/>
                <w:szCs w:val="21"/>
                <w:lang w:val="en-US" w:eastAsia="zh-CN" w:bidi="ar-SA"/>
              </w:rPr>
            </w:pPr>
            <w:r>
              <w:rPr>
                <w:rFonts w:hint="default" w:ascii="宋体" w:hAnsi="宋体" w:eastAsia="宋体" w:cs="宋体"/>
                <w:kern w:val="0"/>
                <w:sz w:val="21"/>
                <w:szCs w:val="21"/>
                <w:lang w:val="en-US" w:eastAsia="zh-CN" w:bidi="ar-SA"/>
              </w:rPr>
              <w:t>结构实现：可用轻量 Transformer/MLP 结合手工特征（如 VaR/CVaR、Turnover、行业暴露等）构成混合判别器，以提升可解释性与训练稳定性。</w:t>
            </w:r>
          </w:p>
          <w:p w14:paraId="2CBCCF32">
            <w:pPr>
              <w:pStyle w:val="10"/>
              <w:keepNext w:val="0"/>
              <w:keepLines w:val="0"/>
              <w:widowControl/>
              <w:numPr>
                <w:ilvl w:val="0"/>
                <w:numId w:val="1"/>
              </w:numPr>
              <w:suppressLineNumbers w:val="0"/>
              <w:ind w:left="199" w:leftChars="0" w:hanging="199" w:hangingChars="95"/>
              <w:rPr>
                <w:rFonts w:hint="eastAsia" w:ascii="宋体" w:hAnsi="宋体" w:eastAsia="宋体" w:cs="宋体"/>
                <w:kern w:val="0"/>
                <w:szCs w:val="21"/>
              </w:rPr>
            </w:pPr>
            <w:r>
              <w:rPr>
                <w:rFonts w:hint="default" w:ascii="宋体" w:hAnsi="宋体" w:eastAsia="宋体" w:cs="宋体"/>
                <w:kern w:val="0"/>
                <w:sz w:val="21"/>
                <w:szCs w:val="21"/>
                <w:lang w:val="en-US" w:eastAsia="zh-CN" w:bidi="ar-SA"/>
              </w:rPr>
              <w:t>训练目标：最小化交叉熵或 AUC 损失，使 D 能识别“优/劣”组合，并为 GAN 对抗提供可学习信号。</w:t>
            </w:r>
          </w:p>
          <w:p w14:paraId="48136122">
            <w:pPr>
              <w:ind w:firstLine="210" w:firstLineChars="100"/>
              <w:rPr>
                <w:rFonts w:hint="default" w:ascii="宋体" w:hAnsi="宋体" w:eastAsia="宋体" w:cs="宋体"/>
                <w:kern w:val="0"/>
                <w:szCs w:val="21"/>
              </w:rPr>
            </w:pPr>
            <w:r>
              <w:rPr>
                <w:rFonts w:hint="eastAsia" w:ascii="宋体" w:hAnsi="宋体" w:cs="宋体"/>
                <w:kern w:val="0"/>
                <w:szCs w:val="21"/>
                <w:lang w:val="en-US" w:eastAsia="zh-CN"/>
              </w:rPr>
              <w:t>6</w:t>
            </w:r>
            <w:r>
              <w:rPr>
                <w:rFonts w:hint="default" w:ascii="宋体" w:hAnsi="宋体" w:eastAsia="宋体" w:cs="宋体"/>
                <w:kern w:val="0"/>
                <w:szCs w:val="21"/>
              </w:rPr>
              <w:t>. 智能优化算法实现</w:t>
            </w:r>
          </w:p>
          <w:p w14:paraId="5FCC5598">
            <w:pPr>
              <w:ind w:firstLine="210" w:firstLineChars="100"/>
              <w:rPr>
                <w:rFonts w:hint="default" w:ascii="宋体" w:hAnsi="宋体" w:eastAsia="宋体" w:cs="宋体"/>
                <w:kern w:val="0"/>
                <w:szCs w:val="21"/>
              </w:rPr>
            </w:pPr>
            <w:r>
              <w:rPr>
                <w:rFonts w:hint="default" w:ascii="宋体" w:hAnsi="宋体" w:eastAsia="宋体" w:cs="宋体"/>
                <w:kern w:val="0"/>
                <w:szCs w:val="21"/>
              </w:rPr>
              <w:t>以GAN为核心构建动态评估引擎——生成器（Generator）持续输出资产配置方案，判别器（Discriminator）基于历史市场情景对方案进行收益-风险综合评分，替代传统静态适应度函数；同时嵌入改进的NSGA-II多目标进化框架，通过非支配排序筛选精英解集，结合自适应交叉变异算子动态调整参数，并引入实时约束处理机制确保方案合规性。当市场波动超过阈值时自动触发增量在线学习，在30分钟内完成模型更新，最终输出涵盖收益、风险及时间维度的三维Pareto最优解集</w:t>
            </w: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资产配置方案</w:t>
            </w:r>
            <w:r>
              <w:rPr>
                <w:rFonts w:hint="eastAsia" w:ascii="宋体" w:hAnsi="宋体" w:eastAsia="宋体" w:cs="宋体"/>
                <w:kern w:val="0"/>
                <w:szCs w:val="21"/>
                <w:lang w:eastAsia="zh-CN"/>
              </w:rPr>
              <w:t>）</w:t>
            </w:r>
            <w:r>
              <w:rPr>
                <w:rFonts w:hint="default" w:ascii="宋体" w:hAnsi="宋体" w:eastAsia="宋体" w:cs="宋体"/>
                <w:kern w:val="0"/>
                <w:szCs w:val="21"/>
              </w:rPr>
              <w:t>，实现智能化、动态化的收益风险决策支持</w:t>
            </w:r>
            <w:r>
              <w:rPr>
                <w:rFonts w:hint="eastAsia" w:ascii="宋体" w:hAnsi="宋体" w:eastAsia="宋体" w:cs="宋体"/>
                <w:kern w:val="0"/>
                <w:szCs w:val="21"/>
                <w:lang w:eastAsia="zh-CN"/>
              </w:rPr>
              <w:t>，</w:t>
            </w:r>
            <w:r>
              <w:rPr>
                <w:rFonts w:hint="default" w:ascii="宋体" w:hAnsi="宋体" w:eastAsia="宋体" w:cs="宋体"/>
                <w:kern w:val="0"/>
                <w:szCs w:val="21"/>
              </w:rPr>
              <w:t>算法核心流程</w:t>
            </w:r>
            <w:r>
              <w:rPr>
                <w:rFonts w:hint="eastAsia" w:ascii="宋体" w:hAnsi="宋体" w:eastAsia="宋体" w:cs="宋体"/>
                <w:kern w:val="0"/>
                <w:szCs w:val="21"/>
                <w:lang w:val="en-US" w:eastAsia="zh-CN"/>
              </w:rPr>
              <w:t>如图所示</w:t>
            </w:r>
            <w:r>
              <w:rPr>
                <w:rFonts w:hint="default" w:ascii="宋体" w:hAnsi="宋体" w:eastAsia="宋体" w:cs="宋体"/>
                <w:kern w:val="0"/>
                <w:szCs w:val="21"/>
              </w:rPr>
              <w:t>：</w:t>
            </w:r>
          </w:p>
          <w:p w14:paraId="2620A031">
            <w:pPr>
              <w:ind w:firstLine="210" w:firstLineChars="100"/>
              <w:jc w:val="center"/>
              <w:rPr>
                <w:rFonts w:hint="eastAsia" w:ascii="宋体" w:hAnsi="宋体" w:eastAsia="宋体" w:cs="宋体"/>
                <w:kern w:val="0"/>
                <w:szCs w:val="21"/>
                <w:lang w:eastAsia="zh-CN"/>
              </w:rPr>
            </w:pPr>
            <w:r>
              <w:rPr>
                <w:rFonts w:hint="eastAsia" w:ascii="宋体" w:hAnsi="宋体" w:eastAsia="宋体" w:cs="宋体"/>
                <w:kern w:val="0"/>
                <w:szCs w:val="21"/>
                <w:lang w:eastAsia="zh-CN"/>
              </w:rPr>
              <w:drawing>
                <wp:inline distT="0" distB="0" distL="114300" distR="114300">
                  <wp:extent cx="1871980" cy="4807585"/>
                  <wp:effectExtent l="0" t="0" r="7620" b="5715"/>
                  <wp:docPr id="4" name="图片 4"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流程图"/>
                          <pic:cNvPicPr>
                            <a:picLocks noChangeAspect="1"/>
                          </pic:cNvPicPr>
                        </pic:nvPicPr>
                        <pic:blipFill>
                          <a:blip r:embed="rId17"/>
                          <a:stretch>
                            <a:fillRect/>
                          </a:stretch>
                        </pic:blipFill>
                        <pic:spPr>
                          <a:xfrm>
                            <a:off x="0" y="0"/>
                            <a:ext cx="1871980" cy="4807585"/>
                          </a:xfrm>
                          <a:prstGeom prst="rect">
                            <a:avLst/>
                          </a:prstGeom>
                        </pic:spPr>
                      </pic:pic>
                    </a:graphicData>
                  </a:graphic>
                </wp:inline>
              </w:drawing>
            </w:r>
          </w:p>
          <w:p w14:paraId="729135BF">
            <w:pPr>
              <w:ind w:firstLine="210" w:firstLineChars="100"/>
              <w:jc w:val="left"/>
              <w:rPr>
                <w:rFonts w:hint="eastAsia" w:ascii="宋体" w:hAnsi="宋体" w:eastAsia="宋体" w:cs="宋体"/>
                <w:kern w:val="0"/>
                <w:szCs w:val="21"/>
                <w:lang w:eastAsia="zh-CN"/>
              </w:rPr>
            </w:pPr>
            <w:r>
              <w:t>生成器的联合目标（示例）</w:t>
            </w:r>
            <w:r>
              <w:rPr>
                <w:rFonts w:hint="eastAsia"/>
                <w:lang w:eastAsia="zh-CN"/>
              </w:rPr>
              <w:t>：</w:t>
            </w:r>
          </w:p>
          <w:p w14:paraId="06FF93C8">
            <w:pPr>
              <w:ind w:left="218" w:leftChars="104" w:firstLine="0" w:firstLineChars="0"/>
              <w:jc w:val="left"/>
              <m:rPr/>
              <w:rPr>
                <w:i w:val="0"/>
                <w:sz w:val="18"/>
                <w:szCs w:val="18"/>
              </w:rPr>
            </w:pPr>
            <m:oMathPara>
              <m:oMathParaPr>
                <m:jc m:val="left"/>
              </m:oMathParaPr>
              <m:oMath>
                <m:r>
                  <m:rPr/>
                  <w:rPr>
                    <w:sz w:val="18"/>
                    <w:szCs w:val="18"/>
                  </w:rPr>
                  <m:t>L_G = − E[ r_{t+K}( w ) ] + alpℎa ∗ VaR_q( w ) + beta ∗ OpRisk( w ) + gamma ∗ AgencyRisk( w ) + lambda_T ∗ Turnover( w ) + lambda_C ∗ pℎi_{Omega}( w ) − lambda_D ∗ E[ ln D( X, w ) ]</m:t>
                </m:r>
              </m:oMath>
            </m:oMathPara>
          </w:p>
          <w:p w14:paraId="2CD781BE">
            <w:pPr>
              <w:ind w:left="218" w:leftChars="104" w:firstLine="0" w:firstLineChars="0"/>
              <w:jc w:val="left"/>
              <m:rPr/>
              <w:rPr>
                <w:i w:val="0"/>
                <w:sz w:val="18"/>
                <w:szCs w:val="18"/>
              </w:rPr>
            </w:pPr>
          </w:p>
          <w:p w14:paraId="5BC7AFA6">
            <w:pPr>
              <w:ind w:firstLine="210" w:firstLineChars="100"/>
              <w:rPr>
                <w:rFonts w:hint="default" w:ascii="宋体" w:hAnsi="宋体" w:eastAsia="宋体" w:cs="宋体"/>
                <w:kern w:val="0"/>
                <w:szCs w:val="21"/>
              </w:rPr>
            </w:pPr>
            <m:oMathPara>
              <m:oMathParaPr>
                <m:jc m:val="left"/>
              </m:oMathParaPr>
              <m:oMath>
                <m:r>
                  <m:rPr>
                    <m:sty m:val="p"/>
                  </m:rPr>
                  <w:rPr>
                    <w:rFonts w:hint="default" w:ascii="Cambria Math" w:hAnsi="Cambria Math" w:eastAsia="宋体" w:cs="宋体"/>
                    <w:kern w:val="0"/>
                    <w:szCs w:val="21"/>
                  </w:rPr>
                  <m:t xml:space="preserve">其中 α, β, γ, </m:t>
                </m:r>
                <m:sSub>
                  <m:sSubPr>
                    <m:ctrlPr>
                      <w:rPr>
                        <w:rFonts w:hint="default" w:ascii="Cambria Math" w:hAnsi="Cambria Math" w:eastAsia="宋体" w:cs="宋体"/>
                        <w:kern w:val="0"/>
                        <w:szCs w:val="21"/>
                      </w:rPr>
                    </m:ctrlPr>
                  </m:sSubPr>
                  <m:e>
                    <m:r>
                      <m:rPr>
                        <m:sty m:val="p"/>
                      </m:rPr>
                      <w:rPr>
                        <w:rFonts w:hint="default" w:ascii="Cambria Math" w:hAnsi="Cambria Math" w:eastAsia="宋体" w:cs="宋体"/>
                        <w:kern w:val="0"/>
                        <w:szCs w:val="21"/>
                      </w:rPr>
                      <m:t>λ</m:t>
                    </m:r>
                    <m:ctrlPr>
                      <w:rPr>
                        <w:rFonts w:hint="default" w:ascii="Cambria Math" w:hAnsi="Cambria Math" w:eastAsia="宋体" w:cs="宋体"/>
                        <w:kern w:val="0"/>
                        <w:szCs w:val="21"/>
                      </w:rPr>
                    </m:ctrlPr>
                  </m:e>
                  <m:sub>
                    <m:r>
                      <m:rPr>
                        <m:sty m:val="p"/>
                      </m:rPr>
                      <w:rPr>
                        <w:rFonts w:hint="default" w:ascii="Cambria Math" w:hAnsi="Cambria Math" w:eastAsia="宋体" w:cs="宋体"/>
                        <w:kern w:val="0"/>
                        <w:szCs w:val="21"/>
                      </w:rPr>
                      <m:t>T</m:t>
                    </m:r>
                    <m:ctrlPr>
                      <w:rPr>
                        <w:rFonts w:hint="default" w:ascii="Cambria Math" w:hAnsi="Cambria Math" w:eastAsia="宋体" w:cs="宋体"/>
                        <w:kern w:val="0"/>
                        <w:szCs w:val="21"/>
                      </w:rPr>
                    </m:ctrlPr>
                  </m:sub>
                </m:sSub>
                <m:r>
                  <m:rPr>
                    <m:sty m:val="p"/>
                  </m:rPr>
                  <w:rPr>
                    <w:rFonts w:hint="default" w:ascii="Cambria Math" w:hAnsi="Cambria Math" w:eastAsia="宋体" w:cs="宋体"/>
                    <w:kern w:val="0"/>
                    <w:szCs w:val="21"/>
                  </w:rPr>
                  <m:t xml:space="preserve">, </m:t>
                </m:r>
                <m:sSub>
                  <m:sSubPr>
                    <m:ctrlPr>
                      <w:rPr>
                        <w:rFonts w:hint="default" w:ascii="Cambria Math" w:hAnsi="Cambria Math" w:eastAsia="宋体" w:cs="宋体"/>
                        <w:kern w:val="0"/>
                        <w:szCs w:val="21"/>
                      </w:rPr>
                    </m:ctrlPr>
                  </m:sSubPr>
                  <m:e>
                    <m:r>
                      <m:rPr>
                        <m:sty m:val="p"/>
                      </m:rPr>
                      <w:rPr>
                        <w:rFonts w:hint="default" w:ascii="Cambria Math" w:hAnsi="Cambria Math" w:eastAsia="宋体" w:cs="宋体"/>
                        <w:kern w:val="0"/>
                        <w:szCs w:val="21"/>
                      </w:rPr>
                      <m:t>λ</m:t>
                    </m:r>
                    <m:ctrlPr>
                      <w:rPr>
                        <w:rFonts w:hint="default" w:ascii="Cambria Math" w:hAnsi="Cambria Math" w:eastAsia="宋体" w:cs="宋体"/>
                        <w:kern w:val="0"/>
                        <w:szCs w:val="21"/>
                      </w:rPr>
                    </m:ctrlPr>
                  </m:e>
                  <m:sub>
                    <m:r>
                      <m:rPr>
                        <m:sty m:val="p"/>
                      </m:rPr>
                      <w:rPr>
                        <w:rFonts w:hint="default" w:ascii="Cambria Math" w:hAnsi="Cambria Math" w:eastAsia="宋体" w:cs="宋体"/>
                        <w:kern w:val="0"/>
                        <w:szCs w:val="21"/>
                      </w:rPr>
                      <m:t>C</m:t>
                    </m:r>
                    <m:ctrlPr>
                      <w:rPr>
                        <w:rFonts w:hint="default" w:ascii="Cambria Math" w:hAnsi="Cambria Math" w:eastAsia="宋体" w:cs="宋体"/>
                        <w:kern w:val="0"/>
                        <w:szCs w:val="21"/>
                      </w:rPr>
                    </m:ctrlPr>
                  </m:sub>
                </m:sSub>
                <m:r>
                  <m:rPr>
                    <m:sty m:val="p"/>
                  </m:rPr>
                  <w:rPr>
                    <w:rFonts w:hint="default" w:ascii="Cambria Math" w:hAnsi="Cambria Math" w:eastAsia="宋体" w:cs="宋体"/>
                    <w:kern w:val="0"/>
                    <w:szCs w:val="21"/>
                  </w:rPr>
                  <m:t xml:space="preserve">, </m:t>
                </m:r>
                <m:sSub>
                  <m:sSubPr>
                    <m:ctrlPr>
                      <w:rPr>
                        <w:rFonts w:hint="default" w:ascii="Cambria Math" w:hAnsi="Cambria Math" w:eastAsia="宋体" w:cs="宋体"/>
                        <w:kern w:val="0"/>
                        <w:szCs w:val="21"/>
                      </w:rPr>
                    </m:ctrlPr>
                  </m:sSubPr>
                  <m:e>
                    <m:r>
                      <m:rPr>
                        <m:sty m:val="p"/>
                      </m:rPr>
                      <w:rPr>
                        <w:rFonts w:hint="default" w:ascii="Cambria Math" w:hAnsi="Cambria Math" w:eastAsia="宋体" w:cs="宋体"/>
                        <w:kern w:val="0"/>
                        <w:szCs w:val="21"/>
                      </w:rPr>
                      <m:t>λ</m:t>
                    </m:r>
                    <m:ctrlPr>
                      <w:rPr>
                        <w:rFonts w:hint="default" w:ascii="Cambria Math" w:hAnsi="Cambria Math" w:eastAsia="宋体" w:cs="宋体"/>
                        <w:kern w:val="0"/>
                        <w:szCs w:val="21"/>
                      </w:rPr>
                    </m:ctrlPr>
                  </m:e>
                  <m:sub>
                    <m:r>
                      <m:rPr>
                        <m:sty m:val="p"/>
                      </m:rPr>
                      <w:rPr>
                        <w:rFonts w:hint="default" w:ascii="Cambria Math" w:hAnsi="Cambria Math" w:eastAsia="宋体" w:cs="宋体"/>
                        <w:kern w:val="0"/>
                        <w:szCs w:val="21"/>
                      </w:rPr>
                      <m:t>D</m:t>
                    </m:r>
                    <m:ctrlPr>
                      <w:rPr>
                        <w:rFonts w:hint="default" w:ascii="Cambria Math" w:hAnsi="Cambria Math" w:eastAsia="宋体" w:cs="宋体"/>
                        <w:kern w:val="0"/>
                        <w:szCs w:val="21"/>
                      </w:rPr>
                    </m:ctrlPr>
                  </m:sub>
                </m:sSub>
                <m:r>
                  <m:rPr>
                    <m:sty m:val="p"/>
                  </m:rPr>
                  <w:rPr>
                    <w:rFonts w:hint="default" w:ascii="Cambria Math" w:hAnsi="Cambria Math" w:eastAsia="宋体" w:cs="宋体"/>
                    <w:kern w:val="0"/>
                    <w:szCs w:val="21"/>
                  </w:rPr>
                  <m:t xml:space="preserve"> 为自适应权重； </m:t>
                </m:r>
                <m:sSub>
                  <m:sSubPr>
                    <m:ctrlPr>
                      <w:rPr>
                        <w:rFonts w:hint="default" w:ascii="Cambria Math" w:hAnsi="Cambria Math" w:eastAsia="宋体" w:cs="宋体"/>
                        <w:kern w:val="0"/>
                        <w:szCs w:val="21"/>
                      </w:rPr>
                    </m:ctrlPr>
                  </m:sSubPr>
                  <m:e>
                    <m:r>
                      <m:rPr>
                        <m:sty m:val="p"/>
                      </m:rPr>
                      <w:rPr>
                        <w:rFonts w:hint="default" w:ascii="Cambria Math" w:hAnsi="Cambria Math" w:eastAsia="宋体" w:cs="宋体"/>
                        <w:kern w:val="0"/>
                        <w:szCs w:val="21"/>
                      </w:rPr>
                      <m:t>φ</m:t>
                    </m:r>
                    <m:ctrlPr>
                      <w:rPr>
                        <w:rFonts w:hint="default" w:ascii="Cambria Math" w:hAnsi="Cambria Math" w:eastAsia="宋体" w:cs="宋体"/>
                        <w:kern w:val="0"/>
                        <w:szCs w:val="21"/>
                      </w:rPr>
                    </m:ctrlPr>
                  </m:e>
                  <m:sub>
                    <m:r>
                      <m:rPr>
                        <m:sty m:val="p"/>
                      </m:rPr>
                      <w:rPr>
                        <w:rFonts w:hint="default" w:ascii="Cambria Math" w:hAnsi="Cambria Math" w:eastAsia="宋体" w:cs="宋体"/>
                        <w:kern w:val="0"/>
                        <w:szCs w:val="21"/>
                      </w:rPr>
                      <m:t>Ω</m:t>
                    </m:r>
                    <m:ctrlPr>
                      <w:rPr>
                        <w:rFonts w:hint="default" w:ascii="Cambria Math" w:hAnsi="Cambria Math" w:eastAsia="宋体" w:cs="宋体"/>
                        <w:kern w:val="0"/>
                        <w:szCs w:val="21"/>
                      </w:rPr>
                    </m:ctrlPr>
                  </m:sub>
                </m:sSub>
                <m:r>
                  <m:rPr>
                    <m:sty m:val="p"/>
                  </m:rPr>
                  <w:rPr>
                    <w:rFonts w:hint="default" w:ascii="Cambria Math" w:hAnsi="Cambria Math" w:eastAsia="宋体" w:cs="宋体"/>
                    <w:kern w:val="0"/>
                    <w:szCs w:val="21"/>
                  </w:rPr>
                  <m:t xml:space="preserve"> 为约束惩罚（或用解析投影替代）；OpRisk/AgencyRisk 分别量化交易/流程风险与委托代理风险。</m:t>
                </m:r>
              </m:oMath>
            </m:oMathPara>
          </w:p>
          <w:p w14:paraId="7CEAE23F">
            <w:pPr>
              <w:ind w:firstLine="210" w:firstLineChars="100"/>
              <w:jc w:val="left"/>
              <m:rPr/>
            </w:pPr>
          </w:p>
          <w:p w14:paraId="005234E5">
            <w:pPr>
              <w:ind w:firstLine="210" w:firstLineChars="100"/>
              <w:jc w:val="left"/>
              <w:rPr>
                <w:rFonts w:hint="eastAsia" w:eastAsia="宋体"/>
                <w:lang w:eastAsia="zh-CN"/>
              </w:rPr>
            </w:pPr>
            <w:r>
              <w:t>对抗目标</w:t>
            </w:r>
            <w:r>
              <w:rPr>
                <w:rFonts w:hint="eastAsia"/>
                <w:lang w:eastAsia="zh-CN"/>
              </w:rPr>
              <w:t>：</w:t>
            </w:r>
          </w:p>
          <w:p w14:paraId="47C27EA0">
            <w:pPr>
              <w:jc w:val="left"/>
              <m:rPr/>
              <w:rPr>
                <w:i w:val="0"/>
              </w:rPr>
            </w:pPr>
            <m:oMathPara>
              <m:oMath>
                <m:r>
                  <m:rPr/>
                  <m:t>min_{tℎeta} max_{pℎi}  E[ ln D_{pℎi}( X, w_G ) ] + E[ ln( 1 − D_{pℎi}( X, w_ref ) ) ]</m:t>
                </m:r>
              </m:oMath>
            </m:oMathPara>
          </w:p>
          <w:p w14:paraId="436DDD1A">
            <w:pPr>
              <w:jc w:val="left"/>
              <m:rPr/>
              <w:rPr>
                <w:i w:val="0"/>
              </w:rPr>
            </w:pPr>
          </w:p>
          <w:p w14:paraId="17057C33">
            <w:pPr>
              <w:ind w:firstLine="210" w:firstLineChars="100"/>
              <w:rPr>
                <w:rFonts w:hint="default" w:ascii="宋体" w:hAnsi="宋体" w:eastAsia="宋体" w:cs="宋体"/>
                <w:kern w:val="0"/>
                <w:szCs w:val="21"/>
              </w:rPr>
            </w:pPr>
            <w:r>
              <w:rPr>
                <w:rFonts w:hint="default" w:ascii="宋体" w:hAnsi="宋体" w:eastAsia="宋体" w:cs="宋体"/>
                <w:kern w:val="0"/>
                <w:szCs w:val="21"/>
              </w:rPr>
              <w:t>其中 α, β, γ, λ_T, λ_C, λ_D 为自适应权重； φ_Ω 为约束惩罚（或用解析投影替代）；OpRisk/AgencyRisk 分别量化交易/流程风险与委托代理风险。</w:t>
            </w:r>
          </w:p>
          <w:p w14:paraId="348F6518">
            <w:pPr>
              <w:ind w:firstLine="210" w:firstLineChars="100"/>
              <w:jc w:val="center"/>
              <w:rPr>
                <w:rFonts w:hint="eastAsia" w:ascii="宋体" w:hAnsi="宋体" w:eastAsia="宋体" w:cs="宋体"/>
                <w:kern w:val="0"/>
                <w:szCs w:val="21"/>
                <w:lang w:eastAsia="zh-CN"/>
              </w:rPr>
            </w:pPr>
          </w:p>
          <w:p w14:paraId="766AC496">
            <w:pPr>
              <w:ind w:firstLine="210" w:firstLineChars="100"/>
              <w:rPr>
                <w:rFonts w:hint="default" w:ascii="宋体" w:hAnsi="宋体" w:eastAsia="宋体" w:cs="宋体"/>
                <w:kern w:val="0"/>
                <w:szCs w:val="21"/>
                <w:lang w:val="en-US" w:eastAsia="zh-CN"/>
              </w:rPr>
            </w:pPr>
            <w:r>
              <w:rPr>
                <w:rFonts w:hint="default" w:ascii="宋体" w:hAnsi="宋体" w:eastAsia="宋体" w:cs="宋体"/>
                <w:kern w:val="0"/>
                <w:szCs w:val="21"/>
              </w:rPr>
              <w:t xml:space="preserve"> NSGA-II 非支配排序与帕累托前沿：在对抗训练收敛附近，对 (alpha, beta, gamma, lambda_T) 自适应扰动，使用 NSGA-II 在当前市场情景下筛选非支配解并保留</w:t>
            </w:r>
            <w:r>
              <w:rPr>
                <w:rFonts w:hint="eastAsia" w:ascii="宋体" w:hAnsi="宋体" w:cs="宋体"/>
                <w:kern w:val="0"/>
                <w:szCs w:val="21"/>
                <w:lang w:val="en-US" w:eastAsia="zh-CN"/>
              </w:rPr>
              <w:t>最佳模型参数。</w:t>
            </w:r>
          </w:p>
          <w:p w14:paraId="64625F9C">
            <w:pPr>
              <w:ind w:firstLine="210" w:firstLineChars="100"/>
              <w:jc w:val="center"/>
              <w:rPr>
                <w:rFonts w:hint="eastAsia" w:ascii="宋体" w:hAnsi="宋体" w:eastAsia="宋体" w:cs="宋体"/>
                <w:kern w:val="0"/>
                <w:szCs w:val="21"/>
                <w:lang w:eastAsia="zh-CN"/>
              </w:rPr>
            </w:pPr>
          </w:p>
          <w:p w14:paraId="454419FA">
            <w:pPr>
              <w:ind w:firstLine="210" w:firstLineChars="100"/>
              <w:jc w:val="center"/>
              <w:rPr>
                <w:rFonts w:hint="eastAsia" w:ascii="宋体" w:hAnsi="宋体" w:eastAsia="宋体" w:cs="宋体"/>
                <w:kern w:val="0"/>
                <w:szCs w:val="21"/>
                <w:lang w:eastAsia="zh-CN"/>
              </w:rPr>
            </w:pPr>
          </w:p>
          <w:p w14:paraId="0DAA8FF0">
            <w:pPr>
              <w:ind w:firstLine="210" w:firstLineChars="100"/>
              <w:rPr>
                <w:rFonts w:hint="default" w:ascii="宋体" w:hAnsi="宋体" w:eastAsia="宋体" w:cs="宋体"/>
                <w:kern w:val="0"/>
                <w:szCs w:val="21"/>
              </w:rPr>
            </w:pPr>
            <w:r>
              <w:rPr>
                <w:rFonts w:hint="eastAsia" w:ascii="宋体" w:hAnsi="宋体" w:cs="宋体"/>
                <w:kern w:val="0"/>
                <w:szCs w:val="21"/>
                <w:lang w:val="en-US" w:eastAsia="zh-CN"/>
              </w:rPr>
              <w:t>7</w:t>
            </w:r>
            <w:r>
              <w:rPr>
                <w:rFonts w:hint="default" w:ascii="宋体" w:hAnsi="宋体" w:eastAsia="宋体" w:cs="宋体"/>
                <w:kern w:val="0"/>
                <w:szCs w:val="21"/>
              </w:rPr>
              <w:t>. 风险评估与决策输出</w:t>
            </w:r>
          </w:p>
          <w:p w14:paraId="4D9D7F76">
            <w:pPr>
              <w:ind w:firstLine="210" w:firstLineChars="100"/>
              <w:rPr>
                <w:rFonts w:hint="eastAsia" w:ascii="宋体" w:hAnsi="宋体" w:eastAsia="宋体" w:cs="宋体"/>
                <w:kern w:val="0"/>
                <w:szCs w:val="21"/>
              </w:rPr>
            </w:pPr>
            <w:r>
              <w:rPr>
                <w:rFonts w:hint="default" w:ascii="宋体" w:hAnsi="宋体" w:eastAsia="宋体" w:cs="宋体"/>
                <w:kern w:val="0"/>
                <w:szCs w:val="21"/>
              </w:rPr>
              <w:t>风险量化模块：采用蒙特卡洛模拟预测极端市场情景下的投资损失，并计算风险价值（VaR）；</w:t>
            </w:r>
          </w:p>
          <w:p w14:paraId="45EF8CF0">
            <w:pPr>
              <w:ind w:firstLine="210" w:firstLineChars="100"/>
              <w:rPr>
                <w:rFonts w:hint="default" w:ascii="宋体" w:hAnsi="宋体" w:eastAsia="宋体" w:cs="宋体"/>
                <w:kern w:val="0"/>
                <w:szCs w:val="21"/>
              </w:rPr>
            </w:pPr>
            <w:r>
              <w:rPr>
                <w:rFonts w:hint="default" w:ascii="宋体" w:hAnsi="宋体" w:eastAsia="宋体" w:cs="宋体"/>
                <w:kern w:val="0"/>
                <w:szCs w:val="21"/>
              </w:rPr>
              <w:t>决策可视化：三维帕累托前沿曲面（收益-风险-时间轴）动态展示最优策略，支持风险滑块调节与情景热力图推演。</w:t>
            </w:r>
          </w:p>
          <w:p w14:paraId="7622C5FE">
            <w:pPr>
              <w:ind w:firstLine="240" w:firstLineChars="1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879725" cy="2490470"/>
                  <wp:effectExtent l="0" t="0" r="3175" b="11430"/>
                  <wp:docPr id="5"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descr="IMG_256"/>
                          <pic:cNvPicPr>
                            <a:picLocks noChangeAspect="1"/>
                          </pic:cNvPicPr>
                        </pic:nvPicPr>
                        <pic:blipFill>
                          <a:blip r:embed="rId18"/>
                          <a:stretch>
                            <a:fillRect/>
                          </a:stretch>
                        </pic:blipFill>
                        <pic:spPr>
                          <a:xfrm>
                            <a:off x="0" y="0"/>
                            <a:ext cx="2879725" cy="2490470"/>
                          </a:xfrm>
                          <a:prstGeom prst="rect">
                            <a:avLst/>
                          </a:prstGeom>
                          <a:noFill/>
                          <a:ln w="9525">
                            <a:noFill/>
                          </a:ln>
                        </pic:spPr>
                      </pic:pic>
                    </a:graphicData>
                  </a:graphic>
                </wp:inline>
              </w:drawing>
            </w:r>
          </w:p>
          <w:p w14:paraId="2CD9EAF6">
            <w:pPr>
              <w:ind w:firstLine="240" w:firstLineChars="100"/>
              <w:jc w:val="center"/>
              <w:rPr>
                <w:rFonts w:ascii="宋体" w:hAnsi="宋体" w:eastAsia="宋体" w:cs="宋体"/>
                <w:sz w:val="24"/>
                <w:szCs w:val="24"/>
              </w:rPr>
            </w:pPr>
          </w:p>
          <w:p w14:paraId="53CEADA3">
            <w:pPr>
              <w:ind w:firstLine="210" w:firstLineChars="100"/>
              <w:rPr>
                <w:rFonts w:hint="eastAsia" w:ascii="宋体" w:hAnsi="宋体" w:eastAsia="宋体" w:cs="宋体"/>
                <w:kern w:val="0"/>
                <w:szCs w:val="21"/>
                <w:lang w:eastAsia="zh-CN"/>
              </w:rPr>
            </w:pPr>
            <w:r>
              <w:rPr>
                <w:rFonts w:hint="eastAsia" w:ascii="宋体" w:hAnsi="宋体" w:cs="宋体"/>
                <w:kern w:val="0"/>
                <w:szCs w:val="21"/>
                <w:lang w:val="en-US" w:eastAsia="zh-CN"/>
              </w:rPr>
              <w:t>8</w:t>
            </w:r>
            <w:r>
              <w:rPr>
                <w:rFonts w:hint="default" w:ascii="宋体" w:hAnsi="宋体" w:cs="宋体"/>
                <w:kern w:val="0"/>
                <w:szCs w:val="21"/>
                <w:lang w:val="en-US" w:eastAsia="zh-CN"/>
              </w:rPr>
              <w:t>. </w:t>
            </w:r>
            <w:r>
              <w:rPr>
                <w:rFonts w:hint="eastAsia" w:ascii="宋体" w:hAnsi="宋体" w:cs="宋体"/>
                <w:kern w:val="0"/>
                <w:szCs w:val="21"/>
                <w:lang w:val="en-US" w:eastAsia="zh-CN"/>
              </w:rPr>
              <w:t>训练与推理流程（两阶段 + 在线增量）</w:t>
            </w:r>
          </w:p>
          <w:p w14:paraId="316CA90C">
            <w:pPr>
              <w:ind w:firstLine="210" w:firstLineChars="100"/>
              <w:rPr>
                <w:rFonts w:hint="default" w:ascii="宋体" w:hAnsi="宋体" w:eastAsia="宋体" w:cs="宋体"/>
                <w:kern w:val="0"/>
                <w:szCs w:val="21"/>
              </w:rPr>
            </w:pPr>
            <w:r>
              <w:rPr>
                <w:rFonts w:hint="default" w:ascii="宋体" w:hAnsi="宋体" w:eastAsia="宋体" w:cs="宋体"/>
                <w:kern w:val="0"/>
                <w:szCs w:val="21"/>
              </w:rPr>
              <w:t>阶段 A（预训练）：</w:t>
            </w:r>
          </w:p>
          <w:p w14:paraId="1EA32B84">
            <w:pPr>
              <w:numPr>
                <w:ilvl w:val="0"/>
                <w:numId w:val="1"/>
              </w:numPr>
              <w:ind w:left="420" w:leftChars="0" w:hanging="200" w:firstLineChars="0"/>
              <w:rPr>
                <w:rFonts w:hint="default" w:ascii="宋体" w:hAnsi="宋体" w:eastAsia="宋体" w:cs="宋体"/>
                <w:kern w:val="0"/>
                <w:szCs w:val="21"/>
              </w:rPr>
            </w:pPr>
            <w:r>
              <w:rPr>
                <w:rFonts w:hint="default" w:ascii="宋体" w:hAnsi="宋体" w:eastAsia="宋体" w:cs="宋体"/>
                <w:kern w:val="0"/>
                <w:szCs w:val="21"/>
              </w:rPr>
              <w:t>数据：使用</w:t>
            </w:r>
            <w:r>
              <w:rPr>
                <w:rFonts w:hint="eastAsia" w:ascii="宋体" w:hAnsi="宋体" w:cs="宋体"/>
                <w:kern w:val="0"/>
                <w:szCs w:val="21"/>
                <w:lang w:val="en-US" w:eastAsia="zh-CN"/>
              </w:rPr>
              <w:t>预先处理好的</w:t>
            </w:r>
            <w:r>
              <w:rPr>
                <w:rFonts w:hint="default" w:ascii="宋体" w:hAnsi="宋体" w:eastAsia="宋体" w:cs="宋体"/>
                <w:kern w:val="0"/>
                <w:szCs w:val="21"/>
              </w:rPr>
              <w:t>宽表与统一索引分片（训练/验证/测试严格时序切分）；</w:t>
            </w:r>
          </w:p>
          <w:p w14:paraId="1E625004">
            <w:pPr>
              <w:numPr>
                <w:ilvl w:val="0"/>
                <w:numId w:val="1"/>
              </w:numPr>
              <w:ind w:left="420" w:leftChars="0" w:hanging="200" w:firstLineChars="0"/>
              <w:rPr>
                <w:rFonts w:hint="default" w:ascii="宋体" w:hAnsi="宋体" w:eastAsia="宋体" w:cs="宋体"/>
                <w:kern w:val="0"/>
                <w:szCs w:val="21"/>
              </w:rPr>
            </w:pPr>
            <w:r>
              <w:rPr>
                <w:rFonts w:hint="default" w:ascii="宋体" w:hAnsi="宋体" w:eastAsia="宋体" w:cs="宋体"/>
                <w:kern w:val="0"/>
                <w:szCs w:val="21"/>
              </w:rPr>
              <w:t xml:space="preserve">目标：以 </w:t>
            </w:r>
            <w:r>
              <w:rPr>
                <w:rFonts w:hint="eastAsia" w:ascii="宋体" w:hAnsi="宋体" w:cs="宋体"/>
                <w:kern w:val="0"/>
                <w:szCs w:val="21"/>
                <w:lang w:val="en-US" w:eastAsia="zh-CN"/>
              </w:rPr>
              <w:t>相关性</w:t>
            </w:r>
            <w:r>
              <w:rPr>
                <w:rFonts w:hint="default" w:ascii="宋体" w:hAnsi="宋体" w:eastAsia="宋体" w:cs="宋体"/>
                <w:kern w:val="0"/>
                <w:szCs w:val="21"/>
              </w:rPr>
              <w:t>为主的排序损失 + 稳健项；</w:t>
            </w:r>
          </w:p>
          <w:p w14:paraId="4B5AC3E4">
            <w:pPr>
              <w:numPr>
                <w:ilvl w:val="0"/>
                <w:numId w:val="1"/>
              </w:numPr>
              <w:ind w:left="420" w:leftChars="0" w:hanging="200" w:firstLineChars="0"/>
              <w:rPr>
                <w:rFonts w:hint="default" w:ascii="宋体" w:hAnsi="宋体" w:eastAsia="宋体" w:cs="宋体"/>
                <w:kern w:val="0"/>
                <w:szCs w:val="21"/>
              </w:rPr>
            </w:pPr>
            <w:r>
              <w:rPr>
                <w:rFonts w:hint="eastAsia" w:ascii="宋体" w:hAnsi="宋体" w:cs="宋体"/>
                <w:kern w:val="0"/>
                <w:szCs w:val="21"/>
                <w:lang w:val="en-US" w:eastAsia="zh-CN"/>
              </w:rPr>
              <w:t>重要参数</w:t>
            </w:r>
            <w:r>
              <w:rPr>
                <w:rFonts w:hint="default" w:ascii="宋体" w:hAnsi="宋体" w:eastAsia="宋体" w:cs="宋体"/>
                <w:kern w:val="0"/>
                <w:szCs w:val="21"/>
              </w:rPr>
              <w:t>：AdamW，学习率，梯度裁剪，AMP 混合精度，余弦退火调度；</w:t>
            </w:r>
          </w:p>
          <w:p w14:paraId="6EDCB4AD">
            <w:pPr>
              <w:numPr>
                <w:ilvl w:val="0"/>
                <w:numId w:val="1"/>
              </w:numPr>
              <w:ind w:left="420" w:leftChars="0" w:hanging="200" w:firstLineChars="0"/>
              <w:rPr>
                <w:rFonts w:hint="default" w:ascii="宋体" w:hAnsi="宋体" w:eastAsia="宋体" w:cs="宋体"/>
                <w:kern w:val="0"/>
                <w:szCs w:val="21"/>
              </w:rPr>
            </w:pPr>
            <w:r>
              <w:rPr>
                <w:rFonts w:hint="default" w:ascii="宋体" w:hAnsi="宋体" w:eastAsia="宋体" w:cs="宋体"/>
                <w:kern w:val="0"/>
                <w:szCs w:val="21"/>
              </w:rPr>
              <w:t>批处理：DuckDB 流式 IterableDataset，CPU 端组批 + 一次性 H2D 拷贝（可启用 I/O half 以降带宽）。</w:t>
            </w:r>
          </w:p>
          <w:p w14:paraId="5156DD23">
            <w:pPr>
              <w:ind w:firstLine="210" w:firstLineChars="100"/>
              <w:rPr>
                <w:rFonts w:hint="default" w:ascii="宋体" w:hAnsi="宋体" w:eastAsia="宋体" w:cs="宋体"/>
                <w:kern w:val="0"/>
                <w:szCs w:val="21"/>
              </w:rPr>
            </w:pPr>
          </w:p>
          <w:p w14:paraId="6941C7A9">
            <w:pPr>
              <w:ind w:firstLine="210" w:firstLineChars="100"/>
              <w:rPr>
                <w:rFonts w:hint="default" w:ascii="宋体" w:hAnsi="宋体" w:eastAsia="宋体" w:cs="宋体"/>
                <w:kern w:val="0"/>
                <w:szCs w:val="21"/>
              </w:rPr>
            </w:pPr>
            <w:r>
              <w:rPr>
                <w:rFonts w:hint="default" w:ascii="宋体" w:hAnsi="宋体" w:eastAsia="宋体" w:cs="宋体"/>
                <w:kern w:val="0"/>
                <w:szCs w:val="21"/>
              </w:rPr>
              <w:t>阶段 B（对抗—多目标联合）：</w:t>
            </w:r>
          </w:p>
          <w:p w14:paraId="3BA3E9C5">
            <w:pPr>
              <w:ind w:firstLine="210" w:firstLineChars="100"/>
              <w:rPr>
                <w:rFonts w:hint="default" w:ascii="宋体" w:hAnsi="宋体" w:eastAsia="宋体" w:cs="宋体"/>
                <w:kern w:val="0"/>
                <w:szCs w:val="21"/>
              </w:rPr>
            </w:pPr>
            <w:r>
              <w:rPr>
                <w:rFonts w:hint="default" w:ascii="宋体" w:hAnsi="宋体" w:eastAsia="宋体" w:cs="宋体"/>
                <w:kern w:val="0"/>
                <w:szCs w:val="21"/>
              </w:rPr>
              <w:t>初始化 D，构建参考组合池（等权/市值权/约束下的近似最优）；</w:t>
            </w:r>
          </w:p>
          <w:p w14:paraId="3DC6F8A7">
            <w:pPr>
              <w:ind w:firstLine="210" w:firstLineChars="100"/>
              <w:rPr>
                <w:rFonts w:hint="default" w:ascii="宋体" w:hAnsi="宋体" w:eastAsia="宋体" w:cs="宋体"/>
                <w:kern w:val="0"/>
                <w:szCs w:val="21"/>
              </w:rPr>
            </w:pPr>
            <w:r>
              <w:rPr>
                <w:rFonts w:hint="default" w:ascii="宋体" w:hAnsi="宋体" w:eastAsia="宋体" w:cs="宋体"/>
                <w:kern w:val="0"/>
                <w:szCs w:val="21"/>
              </w:rPr>
              <w:t>交替更新 G 与 D：每个 epoch 先固定 G 训练 D，后固定 D 训练 G；</w:t>
            </w:r>
          </w:p>
          <w:p w14:paraId="11C7B0EF">
            <w:pPr>
              <w:ind w:firstLine="210" w:firstLineChars="100"/>
              <w:rPr>
                <w:rFonts w:hint="default" w:ascii="宋体" w:hAnsi="宋体" w:eastAsia="宋体" w:cs="宋体"/>
                <w:kern w:val="0"/>
                <w:szCs w:val="21"/>
              </w:rPr>
            </w:pPr>
            <w:r>
              <w:rPr>
                <w:rFonts w:hint="default" w:ascii="宋体" w:hAnsi="宋体" w:eastAsia="宋体" w:cs="宋体"/>
                <w:kern w:val="0"/>
                <w:szCs w:val="21"/>
              </w:rPr>
              <w:t>在损失中加入 VaR/CVaR、OpRisk、AgencyRisk、Turnover 与约束项；</w:t>
            </w:r>
          </w:p>
          <w:p w14:paraId="5CE350A3">
            <w:pPr>
              <w:ind w:firstLine="210" w:firstLineChars="100"/>
              <w:rPr>
                <w:rFonts w:hint="default" w:ascii="宋体" w:hAnsi="宋体" w:eastAsia="宋体" w:cs="宋体"/>
                <w:kern w:val="0"/>
                <w:szCs w:val="21"/>
              </w:rPr>
            </w:pPr>
            <w:r>
              <w:rPr>
                <w:rFonts w:hint="default" w:ascii="宋体" w:hAnsi="宋体" w:eastAsia="宋体" w:cs="宋体"/>
                <w:kern w:val="0"/>
                <w:szCs w:val="21"/>
              </w:rPr>
              <w:t>以逐日批次（batch_by=date）评估横截面指标与稳定性。</w:t>
            </w:r>
          </w:p>
          <w:p w14:paraId="382C4217">
            <w:pPr>
              <w:ind w:firstLine="210" w:firstLineChars="100"/>
              <w:rPr>
                <w:rFonts w:hint="default" w:ascii="宋体" w:hAnsi="宋体" w:eastAsia="宋体" w:cs="宋体"/>
                <w:kern w:val="0"/>
                <w:szCs w:val="21"/>
              </w:rPr>
            </w:pPr>
          </w:p>
          <w:p w14:paraId="00BEFF56">
            <w:pPr>
              <w:ind w:firstLine="210" w:firstLineChars="100"/>
            </w:pPr>
            <w:r>
              <w:rPr>
                <w:rFonts w:hint="default" w:ascii="宋体" w:hAnsi="宋体" w:eastAsia="宋体" w:cs="宋体"/>
                <w:kern w:val="0"/>
                <w:szCs w:val="21"/>
              </w:rPr>
              <w:t>在线与增量更新：当监测到波动突破阈值（如实现波动/隐含波动上行至预设分位），触发 增量在线学习，以最新数据窗口微调 G/D 与权重超参数，实现分钟—小时级响应（例如 30 分钟内完成一次轻量更新）。</w:t>
            </w:r>
          </w:p>
          <w:p w14:paraId="337935D2">
            <w:pPr>
              <w:jc w:val="both"/>
              <w:rPr>
                <w:rFonts w:hint="eastAsia" w:ascii="宋体" w:hAnsi="宋体" w:eastAsia="宋体" w:cs="宋体"/>
                <w:sz w:val="24"/>
                <w:szCs w:val="24"/>
              </w:rPr>
            </w:pPr>
          </w:p>
          <w:p w14:paraId="40B17313">
            <w:pPr>
              <w:ind w:firstLine="210" w:firstLineChars="100"/>
              <w:rPr>
                <w:rFonts w:hint="default" w:ascii="宋体" w:hAnsi="宋体" w:eastAsia="宋体" w:cs="宋体"/>
                <w:kern w:val="0"/>
                <w:szCs w:val="21"/>
              </w:rPr>
            </w:pPr>
            <w:r>
              <w:rPr>
                <w:rFonts w:hint="eastAsia" w:ascii="宋体" w:hAnsi="宋体" w:cs="宋体"/>
                <w:kern w:val="0"/>
                <w:szCs w:val="21"/>
                <w:lang w:val="en-US" w:eastAsia="zh-CN"/>
              </w:rPr>
              <w:t>9</w:t>
            </w:r>
            <w:r>
              <w:rPr>
                <w:rFonts w:hint="default" w:ascii="宋体" w:hAnsi="宋体" w:eastAsia="宋体" w:cs="宋体"/>
                <w:kern w:val="0"/>
                <w:szCs w:val="21"/>
              </w:rPr>
              <w:t>. 技术优势对比</w:t>
            </w:r>
          </w:p>
          <w:p w14:paraId="7757B3C1">
            <w:pPr>
              <w:ind w:firstLine="210" w:firstLineChars="100"/>
              <w:rPr>
                <w:rFonts w:hint="eastAsia" w:ascii="宋体" w:hAnsi="宋体" w:eastAsia="宋体" w:cs="宋体"/>
                <w:kern w:val="0"/>
                <w:szCs w:val="21"/>
                <w:lang w:eastAsia="zh-CN"/>
              </w:rPr>
            </w:pPr>
            <w:r>
              <w:rPr>
                <w:rFonts w:hint="default" w:ascii="宋体" w:hAnsi="宋体" w:eastAsia="宋体" w:cs="宋体"/>
                <w:kern w:val="0"/>
                <w:szCs w:val="21"/>
              </w:rPr>
              <w:t>数据层（多源融合→特征增强）→ 算法层（GAN进化混合优化→动态约束处理）→ 应用层（多维风险评估→可视化决策）形成完整智能决策链条，攻克了传统方法在动态环境适应性、非结构化数据处理、多目标冲突平衡三大关键瓶颈</w:t>
            </w:r>
            <w:r>
              <w:rPr>
                <w:rFonts w:hint="eastAsia" w:ascii="宋体" w:hAnsi="宋体" w:eastAsia="宋体" w:cs="宋体"/>
                <w:kern w:val="0"/>
                <w:szCs w:val="21"/>
                <w:lang w:eastAsia="zh-CN"/>
              </w:rPr>
              <w:t>。</w:t>
            </w:r>
          </w:p>
          <w:p w14:paraId="73D8BBAD">
            <w:pPr>
              <w:ind w:firstLine="210" w:firstLineChars="100"/>
              <w:rPr>
                <w:rFonts w:hint="eastAsia" w:ascii="宋体" w:hAnsi="宋体" w:eastAsia="宋体" w:cs="宋体"/>
                <w:kern w:val="0"/>
                <w:szCs w:val="21"/>
              </w:rPr>
            </w:pPr>
            <w:r>
              <w:rPr>
                <w:rFonts w:hint="default" w:ascii="宋体" w:hAnsi="宋体" w:eastAsia="宋体" w:cs="宋体"/>
                <w:kern w:val="0"/>
                <w:szCs w:val="21"/>
              </w:rPr>
              <w:t>相较于传统决策树模型，本方案通过遗传算法实现多目标协同优化，避免单一指标偏差；</w:t>
            </w:r>
          </w:p>
          <w:p w14:paraId="06C0EC82">
            <w:pPr>
              <w:ind w:firstLine="210" w:firstLineChars="100"/>
              <w:rPr>
                <w:rFonts w:hint="default" w:ascii="宋体" w:hAnsi="宋体" w:eastAsia="宋体" w:cs="宋体"/>
                <w:kern w:val="0"/>
                <w:szCs w:val="21"/>
              </w:rPr>
            </w:pPr>
            <w:r>
              <w:rPr>
                <w:rFonts w:hint="default" w:ascii="宋体" w:hAnsi="宋体" w:eastAsia="宋体" w:cs="宋体"/>
                <w:kern w:val="0"/>
                <w:szCs w:val="21"/>
              </w:rPr>
              <w:t>相比静态风险评估方法，动态数据更新机制显著提升对市场变化的响应速度。</w:t>
            </w:r>
          </w:p>
          <w:p w14:paraId="125FAC90">
            <w:pPr>
              <w:ind w:firstLine="210" w:firstLineChars="100"/>
              <w:rPr>
                <w:rFonts w:hint="eastAsia" w:ascii="宋体" w:hAnsi="宋体" w:eastAsia="宋体" w:cs="宋体"/>
                <w:kern w:val="0"/>
                <w:szCs w:val="21"/>
              </w:rPr>
            </w:pPr>
            <w:r>
              <w:rPr>
                <w:rFonts w:hint="default" w:ascii="宋体" w:hAnsi="宋体" w:eastAsia="宋体" w:cs="宋体"/>
                <w:kern w:val="0"/>
                <w:szCs w:val="21"/>
              </w:rPr>
              <w:t>稳</w:t>
            </w:r>
            <w:r>
              <w:rPr>
                <w:rFonts w:hint="default" w:ascii="宋体" w:hAnsi="宋体" w:eastAsia="宋体" w:cs="宋体"/>
                <w:kern w:val="0"/>
                <w:szCs w:val="21"/>
              </w:rPr>
              <w:t>健与时效：排序驱动的学习配合在线微调，降低噪声影响并快速跟随市场变化。</w:t>
            </w:r>
          </w:p>
          <w:p w14:paraId="0293F4E3">
            <w:pPr>
              <w:ind w:firstLine="210" w:firstLineChars="100"/>
              <w:rPr>
                <w:rFonts w:hint="default" w:ascii="宋体" w:hAnsi="宋体" w:eastAsia="宋体" w:cs="宋体"/>
                <w:kern w:val="0"/>
                <w:szCs w:val="21"/>
              </w:rPr>
            </w:pPr>
            <w:r>
              <w:rPr>
                <w:rFonts w:hint="default" w:ascii="宋体" w:hAnsi="宋体" w:eastAsia="宋体" w:cs="宋体"/>
                <w:kern w:val="0"/>
                <w:szCs w:val="21"/>
              </w:rPr>
              <w:t>实施例：以某企业年金历史数据为输入，算法在10秒内输出3组帕累托最优配置方案，年化收益提升12%的同时将最</w:t>
            </w:r>
            <w:bookmarkStart w:id="0" w:name="_GoBack"/>
            <w:bookmarkEnd w:id="0"/>
            <w:r>
              <w:rPr>
                <w:rFonts w:hint="default" w:ascii="宋体" w:hAnsi="宋体" w:eastAsia="宋体" w:cs="宋体"/>
                <w:kern w:val="0"/>
                <w:szCs w:val="21"/>
              </w:rPr>
              <w:t>大回撤控制在5%以内。</w:t>
            </w:r>
          </w:p>
          <w:p w14:paraId="4AA48C19">
            <w:pPr>
              <w:spacing w:before="156" w:beforeLines="50" w:after="156" w:afterLines="50"/>
              <w:rPr>
                <w:rFonts w:hint="eastAsia" w:ascii="宋体" w:hAnsi="宋体" w:eastAsia="宋体"/>
                <w:sz w:val="24"/>
              </w:rPr>
            </w:pPr>
            <w:r>
              <w:rPr>
                <w:rFonts w:hint="eastAsia" w:ascii="宋体" w:hAnsi="宋体" w:eastAsia="宋体"/>
                <w:sz w:val="24"/>
              </w:rPr>
              <w:t>五、本专利技术的优点：</w:t>
            </w:r>
          </w:p>
          <w:p w14:paraId="6052F0E8">
            <w:pPr>
              <w:ind w:firstLine="210" w:firstLineChars="100"/>
              <w:rPr>
                <w:rFonts w:hint="default" w:ascii="宋体" w:hAnsi="宋体" w:eastAsia="宋体" w:cs="宋体"/>
                <w:kern w:val="0"/>
                <w:szCs w:val="21"/>
              </w:rPr>
            </w:pPr>
            <w:r>
              <w:rPr>
                <w:rFonts w:hint="default" w:ascii="宋体" w:hAnsi="宋体" w:eastAsia="宋体" w:cs="宋体"/>
                <w:kern w:val="0"/>
                <w:szCs w:val="21"/>
              </w:rPr>
              <w:t>本专利技术基于历史数据的收益风险多目标决策算法具有以下优点：</w:t>
            </w:r>
          </w:p>
          <w:p w14:paraId="019654E5">
            <w:pPr>
              <w:ind w:firstLine="210" w:firstLineChars="100"/>
              <w:rPr>
                <w:rFonts w:hint="default" w:ascii="宋体" w:hAnsi="宋体" w:eastAsia="宋体" w:cs="宋体"/>
                <w:kern w:val="0"/>
                <w:szCs w:val="21"/>
              </w:rPr>
            </w:pPr>
            <w:r>
              <w:rPr>
                <w:rFonts w:hint="default" w:ascii="宋体" w:hAnsi="宋体" w:eastAsia="宋体" w:cs="宋体"/>
                <w:kern w:val="0"/>
                <w:szCs w:val="21"/>
              </w:rPr>
              <w:t>多维度风险覆盖：通过整合财务风险与非财务风险，构建全面的风险评估体系，弥补传统方法对非市场风险量化不足的缺陷。</w:t>
            </w:r>
          </w:p>
          <w:p w14:paraId="6310ECCD">
            <w:pPr>
              <w:ind w:firstLine="210" w:firstLineChars="100"/>
              <w:rPr>
                <w:rFonts w:hint="default" w:ascii="宋体" w:hAnsi="宋体" w:eastAsia="宋体" w:cs="宋体"/>
                <w:kern w:val="0"/>
                <w:szCs w:val="21"/>
              </w:rPr>
            </w:pPr>
            <w:r>
              <w:rPr>
                <w:rFonts w:hint="default" w:ascii="宋体" w:hAnsi="宋体" w:eastAsia="宋体" w:cs="宋体"/>
                <w:kern w:val="0"/>
                <w:szCs w:val="21"/>
              </w:rPr>
              <w:t>动态数据驱动优化：利用历史数据实时更新算法参数，结合人工智能技术提升对市场波动的响应速度，克服传统模型在极端场景下预测失准的问题。</w:t>
            </w:r>
          </w:p>
          <w:p w14:paraId="2A829FF3">
            <w:pPr>
              <w:ind w:firstLine="210" w:firstLineChars="100"/>
              <w:rPr>
                <w:rFonts w:hint="default" w:ascii="宋体" w:hAnsi="宋体" w:eastAsia="宋体" w:cs="宋体"/>
                <w:kern w:val="0"/>
                <w:szCs w:val="21"/>
              </w:rPr>
            </w:pPr>
            <w:r>
              <w:rPr>
                <w:rFonts w:hint="default" w:ascii="宋体" w:hAnsi="宋体" w:eastAsia="宋体" w:cs="宋体"/>
                <w:kern w:val="0"/>
                <w:szCs w:val="21"/>
              </w:rPr>
              <w:t>长期投资适配性：引入生命周期动态调整机制，根据参保人年龄、风险偏好等参数优化资产配置比例，避免静态模型导致的策略僵化。</w:t>
            </w:r>
          </w:p>
          <w:p w14:paraId="56A2B979">
            <w:pPr>
              <w:ind w:firstLine="210" w:firstLineChars="100"/>
              <w:rPr>
                <w:rFonts w:hint="default" w:ascii="宋体" w:hAnsi="宋体" w:eastAsia="宋体" w:cs="宋体"/>
                <w:kern w:val="0"/>
                <w:szCs w:val="21"/>
              </w:rPr>
            </w:pPr>
            <w:r>
              <w:rPr>
                <w:rFonts w:hint="default" w:ascii="宋体" w:hAnsi="宋体" w:eastAsia="宋体" w:cs="宋体"/>
                <w:kern w:val="0"/>
                <w:szCs w:val="21"/>
              </w:rPr>
              <w:t>高效多目标协同：采用遗传算法与帕累托前沿筛选（NSGA-II），在收益最大化和风险最小化之间实现精准权衡，相比传统决策树模型更适应复杂金融场景。</w:t>
            </w:r>
          </w:p>
          <w:p w14:paraId="591DE357">
            <w:pPr>
              <w:ind w:firstLine="210" w:firstLineChars="100"/>
              <w:rPr>
                <w:rFonts w:hint="default" w:ascii="宋体" w:hAnsi="宋体" w:eastAsia="宋体" w:cs="宋体"/>
                <w:kern w:val="0"/>
                <w:szCs w:val="21"/>
              </w:rPr>
            </w:pPr>
            <w:r>
              <w:rPr>
                <w:rFonts w:hint="default" w:ascii="宋体" w:hAnsi="宋体" w:eastAsia="宋体" w:cs="宋体"/>
                <w:kern w:val="0"/>
                <w:szCs w:val="21"/>
              </w:rPr>
              <w:t>预测与预防能力增强：通过蒙特卡洛模拟与风险价值分析，预测极端市场损失并生成可视化决策方案，降低历史数据依赖带来的突发风险盲区。</w:t>
            </w:r>
          </w:p>
          <w:p w14:paraId="08863F27">
            <w:pPr>
              <w:spacing w:before="156" w:beforeLines="50" w:after="156" w:afterLines="50"/>
              <w:rPr>
                <w:rFonts w:hint="eastAsia" w:ascii="宋体" w:hAnsi="宋体" w:eastAsia="宋体"/>
                <w:sz w:val="24"/>
              </w:rPr>
            </w:pPr>
            <w:r>
              <w:rPr>
                <w:rFonts w:hint="eastAsia" w:ascii="宋体" w:hAnsi="宋体" w:eastAsia="宋体"/>
                <w:sz w:val="24"/>
              </w:rPr>
              <w:t>六、</w:t>
            </w:r>
            <w:r>
              <w:rPr>
                <w:rFonts w:ascii="宋体" w:hAnsi="宋体" w:eastAsia="宋体"/>
                <w:sz w:val="24"/>
              </w:rPr>
              <w:t>具体实施方式：</w:t>
            </w:r>
            <w:r>
              <w:rPr>
                <w:rFonts w:hint="eastAsia" w:ascii="宋体" w:hAnsi="宋体" w:eastAsia="宋体"/>
                <w:sz w:val="24"/>
              </w:rPr>
              <w:t xml:space="preserve"> </w:t>
            </w:r>
          </w:p>
          <w:p w14:paraId="2AA040AC">
            <w:pPr>
              <w:ind w:firstLine="210" w:firstLineChars="100"/>
              <w:rPr>
                <w:rFonts w:hint="default" w:ascii="宋体" w:hAnsi="宋体" w:eastAsia="宋体" w:cs="宋体"/>
                <w:kern w:val="0"/>
                <w:szCs w:val="21"/>
              </w:rPr>
            </w:pPr>
            <w:r>
              <w:rPr>
                <w:rFonts w:hint="eastAsia" w:ascii="宋体" w:hAnsi="宋体" w:eastAsia="宋体" w:cs="宋体"/>
                <w:kern w:val="0"/>
                <w:szCs w:val="21"/>
              </w:rPr>
              <w:t xml:space="preserve">  </w:t>
            </w:r>
            <w:r>
              <w:rPr>
                <w:rFonts w:hint="default" w:ascii="宋体" w:hAnsi="宋体" w:eastAsia="宋体" w:cs="宋体"/>
                <w:kern w:val="0"/>
                <w:szCs w:val="21"/>
              </w:rPr>
              <w:t>本专利技术的具体实施方式如下，结合历史数据与多目标优化算法实现收益风险动态决策：</w:t>
            </w:r>
          </w:p>
          <w:p w14:paraId="77C32045">
            <w:pPr>
              <w:ind w:firstLine="210" w:firstLineChars="100"/>
              <w:rPr>
                <w:rFonts w:hint="default" w:ascii="宋体" w:hAnsi="宋体" w:eastAsia="宋体" w:cs="宋体"/>
                <w:kern w:val="0"/>
                <w:szCs w:val="21"/>
              </w:rPr>
            </w:pPr>
            <w:r>
              <w:rPr>
                <w:rFonts w:hint="default" w:ascii="宋体" w:hAnsi="宋体" w:eastAsia="宋体" w:cs="宋体"/>
                <w:kern w:val="0"/>
                <w:szCs w:val="21"/>
              </w:rPr>
              <w:t>1. 数据采集与预处理</w:t>
            </w:r>
          </w:p>
          <w:p w14:paraId="4F4B9657">
            <w:pPr>
              <w:ind w:firstLine="210" w:firstLineChars="100"/>
              <w:rPr>
                <w:rFonts w:hint="default" w:ascii="宋体" w:hAnsi="宋体" w:eastAsia="宋体" w:cs="宋体"/>
                <w:kern w:val="0"/>
                <w:szCs w:val="21"/>
              </w:rPr>
            </w:pPr>
            <w:r>
              <w:rPr>
                <w:rFonts w:hint="default" w:ascii="宋体" w:hAnsi="宋体" w:eastAsia="宋体" w:cs="宋体"/>
                <w:kern w:val="0"/>
                <w:szCs w:val="21"/>
              </w:rPr>
              <w:t>多源数据整合：通过爬虫技术或API接口采集市场行情、资产收益率等历史数据，并整合企业年金相关的非财务数据（如操作风险记录），构建多源异构数据库。</w:t>
            </w:r>
          </w:p>
          <w:p w14:paraId="0AA17C00">
            <w:pPr>
              <w:ind w:firstLine="210" w:firstLineChars="100"/>
              <w:rPr>
                <w:rFonts w:hint="default" w:ascii="宋体" w:hAnsi="宋体" w:eastAsia="宋体" w:cs="宋体"/>
                <w:kern w:val="0"/>
                <w:szCs w:val="21"/>
              </w:rPr>
            </w:pPr>
            <w:r>
              <w:rPr>
                <w:rFonts w:hint="default" w:ascii="宋体" w:hAnsi="宋体" w:eastAsia="宋体" w:cs="宋体"/>
                <w:kern w:val="0"/>
                <w:szCs w:val="21"/>
              </w:rPr>
              <w:t>数据清洗与编码：采用统一编码规则对重复数据进行去重和归一化处理，例如对文本数据分段对比并筛选有效信息。</w:t>
            </w:r>
          </w:p>
          <w:p w14:paraId="589430DE">
            <w:pPr>
              <w:ind w:firstLine="210" w:firstLineChars="100"/>
              <w:rPr>
                <w:rFonts w:hint="default" w:ascii="宋体" w:hAnsi="宋体" w:eastAsia="宋体" w:cs="宋体"/>
                <w:kern w:val="0"/>
                <w:szCs w:val="21"/>
              </w:rPr>
            </w:pPr>
            <w:r>
              <w:rPr>
                <w:rFonts w:hint="default" w:ascii="宋体" w:hAnsi="宋体" w:eastAsia="宋体" w:cs="宋体"/>
                <w:kern w:val="0"/>
                <w:szCs w:val="21"/>
              </w:rPr>
              <w:t>2. 多目标模型构建</w:t>
            </w:r>
          </w:p>
          <w:p w14:paraId="77EDC1D1">
            <w:pPr>
              <w:ind w:firstLine="210" w:firstLineChars="100"/>
              <w:rPr>
                <w:rFonts w:hint="default" w:ascii="宋体" w:hAnsi="宋体" w:eastAsia="宋体" w:cs="宋体"/>
                <w:kern w:val="0"/>
                <w:szCs w:val="21"/>
              </w:rPr>
            </w:pPr>
            <w:r>
              <w:rPr>
                <w:rFonts w:hint="default" w:ascii="宋体" w:hAnsi="宋体" w:eastAsia="宋体" w:cs="宋体"/>
                <w:kern w:val="0"/>
                <w:szCs w:val="21"/>
              </w:rPr>
              <w:t>特征提取：使用LSTM-Attention网络提取资产波动周期</w:t>
            </w:r>
            <w:r>
              <w:rPr>
                <w:rFonts w:hint="eastAsia" w:ascii="宋体" w:hAnsi="宋体" w:eastAsia="宋体" w:cs="宋体"/>
                <w:kern w:val="0"/>
                <w:szCs w:val="21"/>
                <w:lang w:val="en-US" w:eastAsia="zh-CN"/>
              </w:rPr>
              <w:t>等</w:t>
            </w:r>
            <w:r>
              <w:rPr>
                <w:rFonts w:hint="default" w:ascii="宋体" w:hAnsi="宋体" w:eastAsia="宋体" w:cs="宋体"/>
                <w:kern w:val="0"/>
                <w:szCs w:val="21"/>
              </w:rPr>
              <w:t>时序数据的长期依赖关系</w:t>
            </w:r>
            <w:r>
              <w:rPr>
                <w:rFonts w:hint="eastAsia" w:ascii="宋体" w:hAnsi="宋体" w:eastAsia="宋体" w:cs="宋体"/>
                <w:kern w:val="0"/>
                <w:szCs w:val="21"/>
                <w:lang w:eastAsia="zh-CN"/>
              </w:rPr>
              <w:t>，通过图卷积网络（GCN） 分析行业联动风险传导</w:t>
            </w:r>
            <w:r>
              <w:rPr>
                <w:rFonts w:hint="eastAsia" w:ascii="宋体" w:hAnsi="宋体" w:eastAsia="宋体" w:cs="宋体"/>
                <w:kern w:val="0"/>
                <w:szCs w:val="21"/>
                <w:lang w:val="en-US" w:eastAsia="zh-CN"/>
              </w:rPr>
              <w:t>等</w:t>
            </w:r>
            <w:r>
              <w:rPr>
                <w:rFonts w:hint="eastAsia" w:ascii="宋体" w:hAnsi="宋体" w:eastAsia="宋体" w:cs="宋体"/>
                <w:kern w:val="0"/>
                <w:szCs w:val="21"/>
                <w:lang w:eastAsia="zh-CN"/>
              </w:rPr>
              <w:t>资产关联性，将</w:t>
            </w:r>
            <w:r>
              <w:rPr>
                <w:rFonts w:hint="eastAsia" w:ascii="宋体" w:hAnsi="宋体" w:eastAsia="宋体" w:cs="宋体"/>
                <w:kern w:val="0"/>
                <w:szCs w:val="21"/>
                <w:lang w:val="en-US" w:eastAsia="zh-CN"/>
              </w:rPr>
              <w:t>市场风险（市场波动）、</w:t>
            </w:r>
            <w:r>
              <w:rPr>
                <w:rFonts w:hint="eastAsia" w:ascii="宋体" w:hAnsi="宋体" w:eastAsia="宋体" w:cs="宋体"/>
                <w:kern w:val="0"/>
                <w:szCs w:val="21"/>
                <w:lang w:eastAsia="zh-CN"/>
              </w:rPr>
              <w:t>操作风险（交易异常频率）、委托代理风险（管理人历史违规记录）量化为特征向量，采用滑动窗口实时更新特征库，确保输入数据时效性</w:t>
            </w:r>
            <w:r>
              <w:rPr>
                <w:rFonts w:hint="default" w:ascii="宋体" w:hAnsi="宋体" w:eastAsia="宋体" w:cs="宋体"/>
                <w:kern w:val="0"/>
                <w:szCs w:val="21"/>
              </w:rPr>
              <w:t>。</w:t>
            </w:r>
          </w:p>
          <w:p w14:paraId="6C888C3E">
            <w:pPr>
              <w:ind w:firstLine="210" w:firstLineChars="100"/>
              <w:rPr>
                <w:rFonts w:hint="default" w:ascii="宋体" w:hAnsi="宋体" w:eastAsia="宋体" w:cs="宋体"/>
                <w:kern w:val="0"/>
                <w:szCs w:val="21"/>
              </w:rPr>
            </w:pPr>
            <w:r>
              <w:rPr>
                <w:rFonts w:hint="default" w:ascii="宋体" w:hAnsi="宋体" w:eastAsia="宋体" w:cs="宋体"/>
                <w:kern w:val="0"/>
                <w:szCs w:val="21"/>
              </w:rPr>
              <w:t>目标函数定义：以收益最大化和风险最小化为双目标，通过动态权衡因子量化两者的权重关系，公式表达为：</w:t>
            </w:r>
            <w:r>
              <w:rPr>
                <w:rFonts w:hint="eastAsia" w:ascii="宋体" w:hAnsi="宋体" w:eastAsia="宋体" w:cs="宋体"/>
                <w:kern w:val="0"/>
                <w:szCs w:val="21"/>
                <w:lang w:val="en-US" w:eastAsia="zh-CN"/>
              </w:rPr>
              <w:t xml:space="preserve"> </w:t>
            </w:r>
            <w:r>
              <w:rPr>
                <w:rFonts w:hint="default" w:ascii="宋体" w:hAnsi="宋体" w:eastAsia="宋体" w:cs="宋体"/>
                <w:kern w:val="0"/>
                <w:szCs w:val="21"/>
              </w:rPr>
              <w:br w:type="textWrapping"/>
            </w:r>
            <w:r>
              <w:rPr>
                <w:rFonts w:hint="eastAsia" w:ascii="宋体" w:hAnsi="宋体" w:eastAsia="宋体" w:cs="宋体"/>
                <w:kern w:val="0"/>
                <w:szCs w:val="21"/>
                <w:lang w:val="en-US" w:eastAsia="zh-CN"/>
              </w:rPr>
              <w:t xml:space="preserve">                </w:t>
            </w:r>
            <w:r>
              <w:rPr>
                <w:rFonts w:hint="default" w:ascii="宋体" w:hAnsi="宋体" w:eastAsia="宋体" w:cs="宋体"/>
                <w:kern w:val="0"/>
                <w:position w:val="-16"/>
                <w:szCs w:val="21"/>
              </w:rPr>
              <w:object>
                <v:shape id="_x0000_i1031" o:spt="75" type="#_x0000_t75" style="height:23pt;width:125pt;" o:ole="t" filled="f" o:preferrelative="t" stroked="f" coordsize="21600,21600">
                  <v:path/>
                  <v:fill on="f" focussize="0,0"/>
                  <v:stroke on="f"/>
                  <v:imagedata r:id="rId20" o:title=""/>
                  <o:lock v:ext="edit" aspectratio="t"/>
                  <w10:wrap type="none"/>
                  <w10:anchorlock/>
                </v:shape>
                <o:OLEObject Type="Embed" ProgID="Equation.KSEE3" ShapeID="_x0000_i1031" DrawAspect="Content" ObjectID="_1468075731" r:id="rId19">
                  <o:LockedField>false</o:LockedField>
                </o:OLEObject>
              </w:object>
            </w:r>
          </w:p>
          <w:p w14:paraId="61679ABC">
            <w:pPr>
              <w:ind w:firstLine="210" w:firstLineChars="100"/>
              <w:rPr>
                <w:rFonts w:hint="eastAsia" w:ascii="宋体" w:hAnsi="宋体" w:eastAsia="宋体" w:cs="宋体"/>
                <w:kern w:val="0"/>
                <w:szCs w:val="21"/>
                <w:lang w:val="en-US" w:eastAsia="zh-CN"/>
              </w:rPr>
            </w:pPr>
            <w:r>
              <w:rPr>
                <w:rFonts w:hint="default" w:ascii="宋体" w:hAnsi="宋体" w:eastAsia="宋体" w:cs="宋体"/>
                <w:kern w:val="0"/>
                <w:szCs w:val="21"/>
              </w:rPr>
              <w:t>其中</w:t>
            </w:r>
            <w:r>
              <w:rPr>
                <w:rFonts w:hint="eastAsia" w:ascii="宋体" w:hAnsi="宋体" w:eastAsia="宋体" w:cs="宋体"/>
                <w:kern w:val="0"/>
                <w:position w:val="-12"/>
                <w:szCs w:val="21"/>
                <w:lang w:val="en-US" w:eastAsia="zh-CN"/>
              </w:rPr>
              <w:object>
                <v:shape id="_x0000_i1032" o:spt="75" type="#_x0000_t75" style="height:18pt;width:13.95pt;" o:ole="t" filled="f" o:preferrelative="t" stroked="f" coordsize="21600,21600">
                  <v:path/>
                  <v:fill on="f" focussize="0,0"/>
                  <v:stroke on="f"/>
                  <v:imagedata r:id="rId7" o:title=""/>
                  <o:lock v:ext="edit" aspectratio="t"/>
                  <w10:wrap type="none"/>
                  <w10:anchorlock/>
                </v:shape>
                <o:OLEObject Type="Embed" ProgID="Equation.KSEE3" ShapeID="_x0000_i1032" DrawAspect="Content" ObjectID="_1468075732" r:id="rId21">
                  <o:LockedField>false</o:LockedField>
                </o:OLEObject>
              </w:object>
            </w:r>
            <w:r>
              <w:rPr>
                <w:rFonts w:hint="default" w:ascii="宋体" w:hAnsi="宋体" w:eastAsia="宋体" w:cs="宋体"/>
                <w:kern w:val="0"/>
                <w:szCs w:val="21"/>
              </w:rPr>
              <w:t>为资产权重</w:t>
            </w:r>
            <w:r>
              <w:rPr>
                <w:rFonts w:hint="eastAsia" w:ascii="宋体" w:hAnsi="宋体" w:eastAsia="宋体" w:cs="宋体"/>
                <w:kern w:val="0"/>
                <w:szCs w:val="21"/>
                <w:lang w:eastAsia="zh-CN"/>
              </w:rPr>
              <w:t>，</w:t>
            </w:r>
            <w:r>
              <w:rPr>
                <w:rFonts w:hint="default" w:ascii="宋体" w:hAnsi="宋体" w:eastAsia="宋体" w:cs="宋体"/>
                <w:kern w:val="0"/>
                <w:position w:val="-12"/>
                <w:szCs w:val="21"/>
              </w:rPr>
              <w:object>
                <v:shape id="_x0000_i1033" o:spt="75" type="#_x0000_t75" style="height:18pt;width:30.8pt;" o:ole="t" filled="f" o:preferrelative="t" stroked="f" coordsize="21600,21600">
                  <v:path/>
                  <v:fill on="f" focussize="0,0"/>
                  <v:stroke on="f"/>
                  <v:imagedata r:id="rId9" o:title=""/>
                  <o:lock v:ext="edit" aspectratio="t"/>
                  <w10:wrap type="none"/>
                  <w10:anchorlock/>
                </v:shape>
                <o:OLEObject Type="Embed" ProgID="Equation.KSEE3" ShapeID="_x0000_i1033" DrawAspect="Content" ObjectID="_1468075733" r:id="rId22">
                  <o:LockedField>false</o:LockedField>
                </o:OLEObject>
              </w:object>
            </w:r>
            <w:r>
              <w:rPr>
                <w:rFonts w:hint="eastAsia" w:ascii="宋体" w:hAnsi="宋体" w:eastAsia="宋体" w:cs="宋体"/>
                <w:kern w:val="0"/>
                <w:szCs w:val="21"/>
                <w:lang w:val="en-US" w:eastAsia="zh-CN"/>
              </w:rPr>
              <w:t>为t时刻投资组合总期望收益，</w:t>
            </w:r>
            <w:r>
              <w:rPr>
                <w:rFonts w:hint="default" w:ascii="宋体" w:hAnsi="宋体" w:eastAsia="宋体" w:cs="宋体"/>
                <w:kern w:val="0"/>
                <w:position w:val="-10"/>
                <w:szCs w:val="21"/>
              </w:rPr>
              <w:object>
                <v:shape id="_x0000_i1034" o:spt="75" type="#_x0000_t75" style="height:17pt;width:27.8pt;" o:ole="t" filled="f" o:preferrelative="t" stroked="f" coordsize="21600,21600">
                  <v:path/>
                  <v:fill on="f" focussize="0,0"/>
                  <v:stroke on="f"/>
                  <v:imagedata r:id="rId11" o:title=""/>
                  <o:lock v:ext="edit" aspectratio="t"/>
                  <w10:wrap type="none"/>
                  <w10:anchorlock/>
                </v:shape>
                <o:OLEObject Type="Embed" ProgID="Equation.KSEE3" ShapeID="_x0000_i1034" DrawAspect="Content" ObjectID="_1468075734" r:id="rId23">
                  <o:LockedField>false</o:LockedField>
                </o:OLEObject>
              </w:object>
            </w:r>
            <w:r>
              <w:rPr>
                <w:rFonts w:hint="default" w:ascii="宋体" w:hAnsi="宋体" w:eastAsia="宋体" w:cs="宋体"/>
                <w:kern w:val="0"/>
                <w:szCs w:val="21"/>
              </w:rPr>
              <w:t>资产预期收益率，通过LSTM网络预测未来K期收益率的均值</w:t>
            </w:r>
            <w:r>
              <w:rPr>
                <w:rFonts w:hint="eastAsia" w:ascii="宋体" w:hAnsi="宋体" w:eastAsia="宋体" w:cs="宋体"/>
                <w:kern w:val="0"/>
                <w:szCs w:val="21"/>
                <w:lang w:eastAsia="zh-CN"/>
              </w:rPr>
              <w:t>。</w:t>
            </w:r>
          </w:p>
          <w:p w14:paraId="5CF95009">
            <w:pPr>
              <w:ind w:firstLine="1680" w:firstLineChars="800"/>
              <w:rPr>
                <w:rFonts w:hint="eastAsia" w:ascii="宋体" w:hAnsi="宋体" w:eastAsia="宋体" w:cs="宋体"/>
                <w:kern w:val="0"/>
                <w:szCs w:val="21"/>
                <w:lang w:eastAsia="zh-CN"/>
              </w:rPr>
            </w:pPr>
            <w:r>
              <w:rPr>
                <w:rFonts w:hint="eastAsia" w:ascii="宋体" w:hAnsi="宋体" w:eastAsia="宋体" w:cs="宋体"/>
                <w:kern w:val="0"/>
                <w:position w:val="-14"/>
                <w:szCs w:val="21"/>
                <w:lang w:eastAsia="zh-CN"/>
              </w:rPr>
              <w:object>
                <v:shape id="_x0000_i1035" o:spt="75" type="#_x0000_t75" style="height:19pt;width:261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24">
                  <o:LockedField>false</o:LockedField>
                </o:OLEObject>
              </w:object>
            </w:r>
          </w:p>
          <w:p w14:paraId="25044973">
            <w:pPr>
              <w:ind w:firstLine="210" w:firstLineChars="100"/>
              <w:rPr>
                <w:rFonts w:hint="default" w:ascii="宋体" w:hAnsi="宋体" w:eastAsia="宋体" w:cs="宋体"/>
                <w:kern w:val="0"/>
                <w:szCs w:val="21"/>
              </w:rPr>
            </w:pPr>
            <w:r>
              <w:rPr>
                <w:rFonts w:hint="default" w:ascii="宋体" w:hAnsi="宋体" w:eastAsia="宋体" w:cs="宋体"/>
                <w:kern w:val="0"/>
                <w:szCs w:val="21"/>
              </w:rPr>
              <w:t>其</w:t>
            </w:r>
            <w:r>
              <w:rPr>
                <w:rFonts w:hint="eastAsia" w:ascii="宋体" w:hAnsi="宋体" w:eastAsia="宋体" w:cs="宋体"/>
                <w:kern w:val="0"/>
                <w:szCs w:val="21"/>
                <w:lang w:val="en-US" w:eastAsia="zh-CN"/>
              </w:rPr>
              <w:t>中</w:t>
            </w:r>
            <w:r>
              <w:rPr>
                <w:rFonts w:hint="default" w:eastAsia="宋体" w:cs="宋体" w:asciiTheme="majorAscii" w:hAnsiTheme="majorAscii"/>
                <w:kern w:val="0"/>
                <w:szCs w:val="21"/>
                <w:lang w:val="en-US" w:eastAsia="zh-CN"/>
              </w:rPr>
              <w:t>α、β、γ</w:t>
            </w:r>
            <w:r>
              <w:rPr>
                <w:rFonts w:hint="eastAsia" w:eastAsia="宋体" w:cs="宋体" w:asciiTheme="majorAscii" w:hAnsiTheme="majorAscii"/>
                <w:kern w:val="0"/>
                <w:szCs w:val="21"/>
                <w:lang w:val="en-US" w:eastAsia="zh-CN"/>
              </w:rPr>
              <w:t xml:space="preserve"> 为自适应风险权重系数，</w:t>
            </w:r>
            <w:r>
              <w:rPr>
                <w:rFonts w:hint="eastAsia" w:ascii="宋体" w:hAnsi="宋体" w:eastAsia="宋体" w:cs="宋体"/>
                <w:kern w:val="0"/>
                <w:position w:val="-14"/>
                <w:szCs w:val="21"/>
                <w:lang w:eastAsia="zh-CN"/>
              </w:rPr>
              <w:object>
                <v:shape id="_x0000_i1036" o:spt="75" type="#_x0000_t75" style="height:19pt;width:54pt;" o:ole="t" filled="f" o:preferrelative="t" stroked="f" coordsize="21600,21600">
                  <v:path/>
                  <v:fill on="f" focussize="0,0"/>
                  <v:stroke on="f"/>
                  <v:imagedata r:id="rId15" o:title=""/>
                  <o:lock v:ext="edit" aspectratio="t"/>
                  <w10:wrap type="none"/>
                  <w10:anchorlock/>
                </v:shape>
                <o:OLEObject Type="Embed" ProgID="Equation.KSEE3" ShapeID="_x0000_i1036" DrawAspect="Content" ObjectID="_1468075736" r:id="rId26">
                  <o:LockedField>false</o:LockedField>
                </o:OLEObject>
              </w:object>
            </w:r>
            <w:r>
              <w:rPr>
                <w:rFonts w:hint="eastAsia" w:ascii="宋体" w:hAnsi="宋体" w:eastAsia="宋体" w:cs="宋体"/>
                <w:kern w:val="0"/>
                <w:szCs w:val="21"/>
                <w:lang w:val="en-US" w:eastAsia="zh-CN"/>
              </w:rPr>
              <w:t>为综合风险量化指标，VaR、OpRisk、AgencyRisk分别为市场风险指标、操作风险指标、委托代理风险指标</w:t>
            </w:r>
            <w:r>
              <w:rPr>
                <w:rFonts w:hint="default" w:ascii="宋体" w:hAnsi="宋体" w:eastAsia="宋体" w:cs="宋体"/>
                <w:kern w:val="0"/>
                <w:szCs w:val="21"/>
              </w:rPr>
              <w:t>。</w:t>
            </w:r>
          </w:p>
          <w:p w14:paraId="4AD1DFF6">
            <w:pPr>
              <w:ind w:firstLine="210" w:firstLineChars="100"/>
              <w:rPr>
                <w:rFonts w:hint="default" w:ascii="宋体" w:hAnsi="宋体" w:eastAsia="宋体" w:cs="宋体"/>
                <w:kern w:val="0"/>
                <w:szCs w:val="21"/>
              </w:rPr>
            </w:pPr>
            <w:r>
              <w:rPr>
                <w:rFonts w:hint="default" w:ascii="宋体" w:hAnsi="宋体" w:eastAsia="宋体" w:cs="宋体"/>
                <w:kern w:val="0"/>
                <w:szCs w:val="21"/>
              </w:rPr>
              <w:t>3. 智能优化与决策生成</w:t>
            </w:r>
          </w:p>
          <w:p w14:paraId="514CB2B1">
            <w:pPr>
              <w:ind w:firstLine="210" w:firstLineChars="100"/>
              <w:rPr>
                <w:rFonts w:hint="default" w:ascii="宋体" w:hAnsi="宋体" w:eastAsia="宋体" w:cs="宋体"/>
                <w:kern w:val="0"/>
                <w:szCs w:val="21"/>
              </w:rPr>
            </w:pPr>
            <w:r>
              <w:rPr>
                <w:rFonts w:hint="default" w:ascii="宋体" w:hAnsi="宋体" w:eastAsia="宋体" w:cs="宋体"/>
                <w:kern w:val="0"/>
                <w:szCs w:val="21"/>
              </w:rPr>
              <w:t>以GAN为核心构建动态评估引擎——生成器（Generator）持续输出资产配置方案，判别器（Discriminator）基于历史市场情景对方案进行收益-风险综合评分，替代传统静态适应度函数；同时嵌入改进的NSGA-II多目标进化框架，通过非支配排序筛选精英解集，结合自适应交叉变异算子动态调整参数，并引入实时约束处理机制确保方案合规性。当市场波动超过阈值时自动触发增量在线学习，在30分钟内完成模型更新，最终输出涵盖收益、风险及时间维度的三维Pareto最优解集，实现智能化、动态化的收益风险决策支持。</w:t>
            </w:r>
          </w:p>
          <w:p w14:paraId="7CB3B83B">
            <w:pPr>
              <w:ind w:firstLine="210" w:firstLineChars="100"/>
              <w:rPr>
                <w:rFonts w:hint="default" w:ascii="宋体" w:hAnsi="宋体" w:eastAsia="宋体" w:cs="宋体"/>
                <w:kern w:val="0"/>
                <w:szCs w:val="21"/>
              </w:rPr>
            </w:pPr>
            <w:r>
              <w:rPr>
                <w:rFonts w:hint="default" w:ascii="宋体" w:hAnsi="宋体" w:eastAsia="宋体" w:cs="宋体"/>
                <w:kern w:val="0"/>
                <w:szCs w:val="21"/>
              </w:rPr>
              <w:t>4. 风险评估与可视化输出</w:t>
            </w:r>
          </w:p>
          <w:p w14:paraId="3CE6DA67">
            <w:pPr>
              <w:ind w:firstLine="210" w:firstLineChars="100"/>
              <w:rPr>
                <w:rFonts w:hint="eastAsia" w:ascii="宋体" w:hAnsi="宋体" w:eastAsia="宋体" w:cs="宋体"/>
                <w:kern w:val="0"/>
                <w:szCs w:val="21"/>
              </w:rPr>
            </w:pPr>
            <w:r>
              <w:rPr>
                <w:rFonts w:hint="default" w:ascii="宋体" w:hAnsi="宋体" w:eastAsia="宋体" w:cs="宋体"/>
                <w:kern w:val="0"/>
                <w:szCs w:val="21"/>
              </w:rPr>
              <w:t>风险量化模块：采用蒙特卡洛模拟预测极端市场情景下的投资损失，并计算风险价值（VaR）；</w:t>
            </w:r>
          </w:p>
          <w:p w14:paraId="139642D9">
            <w:pPr>
              <w:ind w:firstLine="210" w:firstLineChars="100"/>
              <w:rPr>
                <w:rFonts w:hint="default" w:ascii="宋体" w:hAnsi="宋体" w:eastAsia="宋体" w:cs="宋体"/>
                <w:kern w:val="0"/>
                <w:szCs w:val="21"/>
              </w:rPr>
            </w:pPr>
            <w:r>
              <w:rPr>
                <w:rFonts w:hint="default" w:ascii="宋体" w:hAnsi="宋体" w:eastAsia="宋体" w:cs="宋体"/>
                <w:kern w:val="0"/>
                <w:szCs w:val="21"/>
              </w:rPr>
              <w:t>决策可视化：三维帕累托前沿曲面（收益-风险-时间轴）动态展示最优策略，支持风险滑块调节与情景热力图推演。</w:t>
            </w:r>
          </w:p>
          <w:p w14:paraId="0D3FB4AA">
            <w:pPr>
              <w:ind w:firstLine="210" w:firstLineChars="100"/>
              <w:rPr>
                <w:rFonts w:hint="eastAsia" w:ascii="宋体" w:hAnsi="宋体" w:eastAsia="宋体" w:cs="宋体"/>
                <w:kern w:val="0"/>
                <w:szCs w:val="21"/>
                <w:lang w:eastAsia="zh-CN"/>
              </w:rPr>
            </w:pPr>
          </w:p>
          <w:p w14:paraId="0CB798F6">
            <w:pPr>
              <w:spacing w:before="156" w:beforeLines="50" w:after="156" w:afterLines="50"/>
              <w:rPr>
                <w:rFonts w:hint="eastAsia" w:ascii="宋体" w:hAnsi="宋体" w:eastAsia="宋体"/>
                <w:sz w:val="24"/>
              </w:rPr>
            </w:pPr>
            <w:r>
              <w:rPr>
                <w:rFonts w:hint="eastAsia" w:ascii="宋体" w:hAnsi="宋体" w:eastAsia="宋体"/>
                <w:sz w:val="24"/>
              </w:rPr>
              <w:t>七、附图</w:t>
            </w:r>
          </w:p>
          <w:p w14:paraId="38A2AFAA">
            <w:pPr>
              <w:spacing w:before="156" w:beforeLines="50" w:after="156" w:afterLines="50"/>
              <w:rPr>
                <w:rFonts w:hint="eastAsia" w:ascii="宋体" w:hAnsi="宋体" w:eastAsia="宋体" w:cs="宋体"/>
                <w:kern w:val="0"/>
                <w:szCs w:val="21"/>
              </w:rPr>
            </w:pPr>
            <w:r>
              <w:rPr>
                <w:rFonts w:hint="eastAsia" w:ascii="宋体" w:hAnsi="宋体" w:eastAsia="宋体" w:cs="宋体"/>
                <w:kern w:val="0"/>
                <w:szCs w:val="21"/>
              </w:rPr>
              <w:t>提供附图（结构图、工艺流程图、电路图、模块连接框图等），并对照附图将装置的具体结构，每个装置的名称以及连接方式描述清楚，特殊装置的作用）</w:t>
            </w:r>
          </w:p>
          <w:p w14:paraId="6BE11B06">
            <w:pPr>
              <w:spacing w:line="360" w:lineRule="auto"/>
              <w:ind w:firstLine="640" w:firstLineChars="200"/>
              <w:rPr>
                <w:rFonts w:hint="eastAsia" w:hAnsi="宋体"/>
                <w:sz w:val="32"/>
                <w:szCs w:val="32"/>
              </w:rPr>
            </w:pPr>
          </w:p>
        </w:tc>
      </w:tr>
    </w:tbl>
    <w:p w14:paraId="056EF6B8">
      <w:pPr>
        <w:rPr>
          <w:rFonts w:hint="eastAsia" w:ascii="仿宋_GB2312" w:hAnsi="Calibri" w:eastAsia="仿宋_GB2312"/>
          <w:sz w:val="32"/>
          <w:szCs w:val="32"/>
        </w:rPr>
      </w:pPr>
    </w:p>
    <w:sectPr>
      <w:pgSz w:w="11906" w:h="16838"/>
      <w:pgMar w:top="1440" w:right="1797"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anklin Gothic Medium">
    <w:panose1 w:val="020B0603020102020204"/>
    <w:charset w:val="00"/>
    <w:family w:val="swiss"/>
    <w:pitch w:val="default"/>
    <w:sig w:usb0="00000287" w:usb1="000000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10" w:usb3="00000000" w:csb0="00040000"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37B9C8"/>
    <w:multiLevelType w:val="singleLevel"/>
    <w:tmpl w:val="7A37B9C8"/>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xZmU5MDc3MGFmMmYyMWQ5MTY0MzY1Mjg1NzJhNmUifQ=="/>
  </w:docVars>
  <w:rsids>
    <w:rsidRoot w:val="009473B3"/>
    <w:rsid w:val="00000EBA"/>
    <w:rsid w:val="00002281"/>
    <w:rsid w:val="00007B68"/>
    <w:rsid w:val="000111B7"/>
    <w:rsid w:val="00013D79"/>
    <w:rsid w:val="00013E81"/>
    <w:rsid w:val="000377A9"/>
    <w:rsid w:val="000410CE"/>
    <w:rsid w:val="00052617"/>
    <w:rsid w:val="00072E75"/>
    <w:rsid w:val="00077EDF"/>
    <w:rsid w:val="00087CBE"/>
    <w:rsid w:val="00094571"/>
    <w:rsid w:val="000B02CB"/>
    <w:rsid w:val="000B12FC"/>
    <w:rsid w:val="000C5708"/>
    <w:rsid w:val="000F3CE1"/>
    <w:rsid w:val="000F69B1"/>
    <w:rsid w:val="000F6F9D"/>
    <w:rsid w:val="00101B3A"/>
    <w:rsid w:val="001079E4"/>
    <w:rsid w:val="00115CB6"/>
    <w:rsid w:val="0013550D"/>
    <w:rsid w:val="00141B8C"/>
    <w:rsid w:val="0014312D"/>
    <w:rsid w:val="00146F93"/>
    <w:rsid w:val="00160CF1"/>
    <w:rsid w:val="00184527"/>
    <w:rsid w:val="001911F6"/>
    <w:rsid w:val="001A2EC3"/>
    <w:rsid w:val="001A4FF8"/>
    <w:rsid w:val="001B37D7"/>
    <w:rsid w:val="001B6E15"/>
    <w:rsid w:val="001C2414"/>
    <w:rsid w:val="001C3CE5"/>
    <w:rsid w:val="001D5630"/>
    <w:rsid w:val="001D77B8"/>
    <w:rsid w:val="001E2778"/>
    <w:rsid w:val="001F44B3"/>
    <w:rsid w:val="001F6A83"/>
    <w:rsid w:val="00201A99"/>
    <w:rsid w:val="0021170B"/>
    <w:rsid w:val="002363A0"/>
    <w:rsid w:val="002422D0"/>
    <w:rsid w:val="00256333"/>
    <w:rsid w:val="002608A8"/>
    <w:rsid w:val="00273475"/>
    <w:rsid w:val="00275262"/>
    <w:rsid w:val="00284130"/>
    <w:rsid w:val="002940BC"/>
    <w:rsid w:val="002943B8"/>
    <w:rsid w:val="002A1A05"/>
    <w:rsid w:val="002B0005"/>
    <w:rsid w:val="002B0F30"/>
    <w:rsid w:val="002B2718"/>
    <w:rsid w:val="002C7CE7"/>
    <w:rsid w:val="002D74C8"/>
    <w:rsid w:val="002F78FE"/>
    <w:rsid w:val="0030182E"/>
    <w:rsid w:val="00311656"/>
    <w:rsid w:val="003252B6"/>
    <w:rsid w:val="00325582"/>
    <w:rsid w:val="00330D4A"/>
    <w:rsid w:val="00333F51"/>
    <w:rsid w:val="00336EC9"/>
    <w:rsid w:val="003373CC"/>
    <w:rsid w:val="003519FA"/>
    <w:rsid w:val="003547F7"/>
    <w:rsid w:val="00354830"/>
    <w:rsid w:val="0035768F"/>
    <w:rsid w:val="00362765"/>
    <w:rsid w:val="00367800"/>
    <w:rsid w:val="00370DAB"/>
    <w:rsid w:val="00372C4A"/>
    <w:rsid w:val="00375BCD"/>
    <w:rsid w:val="00377711"/>
    <w:rsid w:val="0038741B"/>
    <w:rsid w:val="00390767"/>
    <w:rsid w:val="00393699"/>
    <w:rsid w:val="003965DB"/>
    <w:rsid w:val="003A1744"/>
    <w:rsid w:val="003B24B4"/>
    <w:rsid w:val="003C0567"/>
    <w:rsid w:val="003D3565"/>
    <w:rsid w:val="003D554C"/>
    <w:rsid w:val="003D667C"/>
    <w:rsid w:val="003E0FF6"/>
    <w:rsid w:val="003E2C42"/>
    <w:rsid w:val="003F3030"/>
    <w:rsid w:val="003F44F1"/>
    <w:rsid w:val="003F47B2"/>
    <w:rsid w:val="003F5357"/>
    <w:rsid w:val="003F63DF"/>
    <w:rsid w:val="0040479D"/>
    <w:rsid w:val="0040503B"/>
    <w:rsid w:val="004243AF"/>
    <w:rsid w:val="00425E37"/>
    <w:rsid w:val="00441520"/>
    <w:rsid w:val="0046044C"/>
    <w:rsid w:val="0046554F"/>
    <w:rsid w:val="00467723"/>
    <w:rsid w:val="00471D51"/>
    <w:rsid w:val="00472BC9"/>
    <w:rsid w:val="00474210"/>
    <w:rsid w:val="00481937"/>
    <w:rsid w:val="00481A33"/>
    <w:rsid w:val="00495C1E"/>
    <w:rsid w:val="004A7648"/>
    <w:rsid w:val="004B214B"/>
    <w:rsid w:val="004B45C6"/>
    <w:rsid w:val="004B5F87"/>
    <w:rsid w:val="004C09DD"/>
    <w:rsid w:val="004C1317"/>
    <w:rsid w:val="004C26FA"/>
    <w:rsid w:val="004C2D4A"/>
    <w:rsid w:val="004D0DEE"/>
    <w:rsid w:val="004E0974"/>
    <w:rsid w:val="004E3EC8"/>
    <w:rsid w:val="004E45AD"/>
    <w:rsid w:val="004E53FF"/>
    <w:rsid w:val="004E554D"/>
    <w:rsid w:val="004F0757"/>
    <w:rsid w:val="004F510A"/>
    <w:rsid w:val="004F6071"/>
    <w:rsid w:val="00502B82"/>
    <w:rsid w:val="00511BB7"/>
    <w:rsid w:val="00512E71"/>
    <w:rsid w:val="0051743D"/>
    <w:rsid w:val="00527AF4"/>
    <w:rsid w:val="00535B77"/>
    <w:rsid w:val="00540E83"/>
    <w:rsid w:val="00547071"/>
    <w:rsid w:val="005504C1"/>
    <w:rsid w:val="00554E00"/>
    <w:rsid w:val="00554E99"/>
    <w:rsid w:val="00560413"/>
    <w:rsid w:val="005633C5"/>
    <w:rsid w:val="005741FF"/>
    <w:rsid w:val="00575055"/>
    <w:rsid w:val="00585023"/>
    <w:rsid w:val="00592546"/>
    <w:rsid w:val="0059305A"/>
    <w:rsid w:val="005A2A14"/>
    <w:rsid w:val="005B4A83"/>
    <w:rsid w:val="005B4EE9"/>
    <w:rsid w:val="005B7D7D"/>
    <w:rsid w:val="005B7E93"/>
    <w:rsid w:val="005C2845"/>
    <w:rsid w:val="005C2BD8"/>
    <w:rsid w:val="005C6D1C"/>
    <w:rsid w:val="005E0A5A"/>
    <w:rsid w:val="005E4F0E"/>
    <w:rsid w:val="005E7E6D"/>
    <w:rsid w:val="00603A05"/>
    <w:rsid w:val="00605774"/>
    <w:rsid w:val="0060759F"/>
    <w:rsid w:val="00607C05"/>
    <w:rsid w:val="0061020C"/>
    <w:rsid w:val="00610A3F"/>
    <w:rsid w:val="006261B0"/>
    <w:rsid w:val="006306E3"/>
    <w:rsid w:val="006320C3"/>
    <w:rsid w:val="006377E4"/>
    <w:rsid w:val="0064107F"/>
    <w:rsid w:val="00646900"/>
    <w:rsid w:val="006476F8"/>
    <w:rsid w:val="00653669"/>
    <w:rsid w:val="00653DE9"/>
    <w:rsid w:val="0065797E"/>
    <w:rsid w:val="00665FE2"/>
    <w:rsid w:val="00670DA2"/>
    <w:rsid w:val="00675007"/>
    <w:rsid w:val="00681520"/>
    <w:rsid w:val="00687ACE"/>
    <w:rsid w:val="006929D1"/>
    <w:rsid w:val="006A0A08"/>
    <w:rsid w:val="006A50E0"/>
    <w:rsid w:val="006B0B6C"/>
    <w:rsid w:val="006B3ED4"/>
    <w:rsid w:val="006C1A76"/>
    <w:rsid w:val="006C7782"/>
    <w:rsid w:val="006D1C52"/>
    <w:rsid w:val="006D480C"/>
    <w:rsid w:val="006D7413"/>
    <w:rsid w:val="006E42C6"/>
    <w:rsid w:val="006F3C25"/>
    <w:rsid w:val="006F4A00"/>
    <w:rsid w:val="00700418"/>
    <w:rsid w:val="00714388"/>
    <w:rsid w:val="0071493B"/>
    <w:rsid w:val="00716A18"/>
    <w:rsid w:val="0072327D"/>
    <w:rsid w:val="00725EB9"/>
    <w:rsid w:val="00734AD2"/>
    <w:rsid w:val="00736950"/>
    <w:rsid w:val="007414E0"/>
    <w:rsid w:val="00746B9A"/>
    <w:rsid w:val="00752C5A"/>
    <w:rsid w:val="007603B5"/>
    <w:rsid w:val="0076262F"/>
    <w:rsid w:val="0077353B"/>
    <w:rsid w:val="00775D25"/>
    <w:rsid w:val="0077743F"/>
    <w:rsid w:val="00784806"/>
    <w:rsid w:val="0078677C"/>
    <w:rsid w:val="007A36A6"/>
    <w:rsid w:val="007C71F3"/>
    <w:rsid w:val="007D0187"/>
    <w:rsid w:val="007D1C67"/>
    <w:rsid w:val="007D4AA8"/>
    <w:rsid w:val="007D67D6"/>
    <w:rsid w:val="007E5830"/>
    <w:rsid w:val="007E71B6"/>
    <w:rsid w:val="007F11F5"/>
    <w:rsid w:val="007F2295"/>
    <w:rsid w:val="007F2F1E"/>
    <w:rsid w:val="007F75EA"/>
    <w:rsid w:val="00815F88"/>
    <w:rsid w:val="0083387B"/>
    <w:rsid w:val="00845A0A"/>
    <w:rsid w:val="00856CAC"/>
    <w:rsid w:val="008626A6"/>
    <w:rsid w:val="00866BD4"/>
    <w:rsid w:val="008714A8"/>
    <w:rsid w:val="00874737"/>
    <w:rsid w:val="008779B9"/>
    <w:rsid w:val="00883523"/>
    <w:rsid w:val="008851B7"/>
    <w:rsid w:val="008974E9"/>
    <w:rsid w:val="008A04B8"/>
    <w:rsid w:val="008A0697"/>
    <w:rsid w:val="008A10AF"/>
    <w:rsid w:val="008B356B"/>
    <w:rsid w:val="008B38E6"/>
    <w:rsid w:val="008C110C"/>
    <w:rsid w:val="008C4B2E"/>
    <w:rsid w:val="008D23BB"/>
    <w:rsid w:val="008D6118"/>
    <w:rsid w:val="008E2542"/>
    <w:rsid w:val="008E64A1"/>
    <w:rsid w:val="008E7983"/>
    <w:rsid w:val="008E7FE7"/>
    <w:rsid w:val="008F1533"/>
    <w:rsid w:val="00901A6B"/>
    <w:rsid w:val="009067B5"/>
    <w:rsid w:val="009078F6"/>
    <w:rsid w:val="00917EDE"/>
    <w:rsid w:val="009232BB"/>
    <w:rsid w:val="009252F6"/>
    <w:rsid w:val="00931328"/>
    <w:rsid w:val="009323F2"/>
    <w:rsid w:val="009473B3"/>
    <w:rsid w:val="00953AB8"/>
    <w:rsid w:val="00957756"/>
    <w:rsid w:val="00964039"/>
    <w:rsid w:val="00972296"/>
    <w:rsid w:val="009971F2"/>
    <w:rsid w:val="009A3B71"/>
    <w:rsid w:val="009A3F4F"/>
    <w:rsid w:val="009A5022"/>
    <w:rsid w:val="009A6564"/>
    <w:rsid w:val="009B3ADA"/>
    <w:rsid w:val="009B4C0B"/>
    <w:rsid w:val="009B6739"/>
    <w:rsid w:val="009C5FC0"/>
    <w:rsid w:val="009E2CC2"/>
    <w:rsid w:val="009E7AC5"/>
    <w:rsid w:val="00A019BE"/>
    <w:rsid w:val="00A01EA1"/>
    <w:rsid w:val="00A0256B"/>
    <w:rsid w:val="00A02D30"/>
    <w:rsid w:val="00A04312"/>
    <w:rsid w:val="00A04D35"/>
    <w:rsid w:val="00A11964"/>
    <w:rsid w:val="00A1217A"/>
    <w:rsid w:val="00A20653"/>
    <w:rsid w:val="00A248D8"/>
    <w:rsid w:val="00A24E4B"/>
    <w:rsid w:val="00A2509D"/>
    <w:rsid w:val="00A27D9B"/>
    <w:rsid w:val="00A43CD2"/>
    <w:rsid w:val="00A50AFD"/>
    <w:rsid w:val="00A55A48"/>
    <w:rsid w:val="00A55FF1"/>
    <w:rsid w:val="00A611C4"/>
    <w:rsid w:val="00A67C15"/>
    <w:rsid w:val="00A71F56"/>
    <w:rsid w:val="00A76CA8"/>
    <w:rsid w:val="00A80F24"/>
    <w:rsid w:val="00A8654C"/>
    <w:rsid w:val="00A868E9"/>
    <w:rsid w:val="00A90FE5"/>
    <w:rsid w:val="00A93BC0"/>
    <w:rsid w:val="00AA2F7B"/>
    <w:rsid w:val="00AB0324"/>
    <w:rsid w:val="00AC3AC4"/>
    <w:rsid w:val="00AC56D2"/>
    <w:rsid w:val="00AD1B28"/>
    <w:rsid w:val="00AD27F3"/>
    <w:rsid w:val="00AD409A"/>
    <w:rsid w:val="00AD583B"/>
    <w:rsid w:val="00AD7DB4"/>
    <w:rsid w:val="00AE0853"/>
    <w:rsid w:val="00AE5B8B"/>
    <w:rsid w:val="00B22411"/>
    <w:rsid w:val="00B2469D"/>
    <w:rsid w:val="00B257DA"/>
    <w:rsid w:val="00B610E7"/>
    <w:rsid w:val="00B718DC"/>
    <w:rsid w:val="00B71E1D"/>
    <w:rsid w:val="00B731E4"/>
    <w:rsid w:val="00B814A4"/>
    <w:rsid w:val="00B91C75"/>
    <w:rsid w:val="00B91EF7"/>
    <w:rsid w:val="00B924D2"/>
    <w:rsid w:val="00B95EC5"/>
    <w:rsid w:val="00BC3656"/>
    <w:rsid w:val="00BC4378"/>
    <w:rsid w:val="00BD3B4E"/>
    <w:rsid w:val="00BE0726"/>
    <w:rsid w:val="00BE1370"/>
    <w:rsid w:val="00BE17CC"/>
    <w:rsid w:val="00BE3992"/>
    <w:rsid w:val="00BE51E5"/>
    <w:rsid w:val="00BE5748"/>
    <w:rsid w:val="00BF1D6B"/>
    <w:rsid w:val="00BF49C3"/>
    <w:rsid w:val="00C025C8"/>
    <w:rsid w:val="00C04613"/>
    <w:rsid w:val="00C055CD"/>
    <w:rsid w:val="00C11F3E"/>
    <w:rsid w:val="00C17DB6"/>
    <w:rsid w:val="00C20239"/>
    <w:rsid w:val="00C236CE"/>
    <w:rsid w:val="00C2791E"/>
    <w:rsid w:val="00C345F7"/>
    <w:rsid w:val="00C36A58"/>
    <w:rsid w:val="00C53F7D"/>
    <w:rsid w:val="00C54909"/>
    <w:rsid w:val="00C54DD0"/>
    <w:rsid w:val="00C555C9"/>
    <w:rsid w:val="00C61BDA"/>
    <w:rsid w:val="00C61E18"/>
    <w:rsid w:val="00C72B28"/>
    <w:rsid w:val="00C862F0"/>
    <w:rsid w:val="00CB0966"/>
    <w:rsid w:val="00CC340D"/>
    <w:rsid w:val="00CD4259"/>
    <w:rsid w:val="00CD6637"/>
    <w:rsid w:val="00CD7877"/>
    <w:rsid w:val="00CF0D22"/>
    <w:rsid w:val="00CF2F0B"/>
    <w:rsid w:val="00D01A76"/>
    <w:rsid w:val="00D05825"/>
    <w:rsid w:val="00D05CE1"/>
    <w:rsid w:val="00D15A3A"/>
    <w:rsid w:val="00D17DF5"/>
    <w:rsid w:val="00D30FA5"/>
    <w:rsid w:val="00D332B9"/>
    <w:rsid w:val="00D35C92"/>
    <w:rsid w:val="00D3643F"/>
    <w:rsid w:val="00D37612"/>
    <w:rsid w:val="00D50707"/>
    <w:rsid w:val="00D51A2C"/>
    <w:rsid w:val="00D52EB3"/>
    <w:rsid w:val="00D536F6"/>
    <w:rsid w:val="00D5714D"/>
    <w:rsid w:val="00D600EA"/>
    <w:rsid w:val="00D62752"/>
    <w:rsid w:val="00D67E71"/>
    <w:rsid w:val="00D7370F"/>
    <w:rsid w:val="00D746A3"/>
    <w:rsid w:val="00D750DF"/>
    <w:rsid w:val="00D76812"/>
    <w:rsid w:val="00D826A8"/>
    <w:rsid w:val="00DA66EA"/>
    <w:rsid w:val="00DB4A97"/>
    <w:rsid w:val="00DC159E"/>
    <w:rsid w:val="00DC3166"/>
    <w:rsid w:val="00DC4BBB"/>
    <w:rsid w:val="00DD1EDD"/>
    <w:rsid w:val="00DD325C"/>
    <w:rsid w:val="00DD3E8F"/>
    <w:rsid w:val="00DD6FF1"/>
    <w:rsid w:val="00DE4D33"/>
    <w:rsid w:val="00DF472A"/>
    <w:rsid w:val="00DF6D76"/>
    <w:rsid w:val="00DF7EED"/>
    <w:rsid w:val="00E00FDB"/>
    <w:rsid w:val="00E02BE5"/>
    <w:rsid w:val="00E03EFA"/>
    <w:rsid w:val="00E17C65"/>
    <w:rsid w:val="00E315A1"/>
    <w:rsid w:val="00E4283A"/>
    <w:rsid w:val="00E46880"/>
    <w:rsid w:val="00E50136"/>
    <w:rsid w:val="00E5200B"/>
    <w:rsid w:val="00E539F1"/>
    <w:rsid w:val="00E6103D"/>
    <w:rsid w:val="00E73256"/>
    <w:rsid w:val="00E83C9D"/>
    <w:rsid w:val="00E8439D"/>
    <w:rsid w:val="00E86522"/>
    <w:rsid w:val="00E87537"/>
    <w:rsid w:val="00E900C6"/>
    <w:rsid w:val="00E9749C"/>
    <w:rsid w:val="00E97959"/>
    <w:rsid w:val="00EA6889"/>
    <w:rsid w:val="00EB2574"/>
    <w:rsid w:val="00EB2B2E"/>
    <w:rsid w:val="00EB7ED2"/>
    <w:rsid w:val="00EC0D56"/>
    <w:rsid w:val="00EC0E24"/>
    <w:rsid w:val="00EC27C1"/>
    <w:rsid w:val="00ED64CF"/>
    <w:rsid w:val="00EE2A20"/>
    <w:rsid w:val="00EE5443"/>
    <w:rsid w:val="00EE635B"/>
    <w:rsid w:val="00EF0250"/>
    <w:rsid w:val="00EF1705"/>
    <w:rsid w:val="00EF5A28"/>
    <w:rsid w:val="00EF5EAD"/>
    <w:rsid w:val="00F067CC"/>
    <w:rsid w:val="00F27F0C"/>
    <w:rsid w:val="00F35C5D"/>
    <w:rsid w:val="00F412E1"/>
    <w:rsid w:val="00F50AF5"/>
    <w:rsid w:val="00F576DB"/>
    <w:rsid w:val="00F57D7C"/>
    <w:rsid w:val="00F6224D"/>
    <w:rsid w:val="00F66069"/>
    <w:rsid w:val="00F664FB"/>
    <w:rsid w:val="00F675EB"/>
    <w:rsid w:val="00F85899"/>
    <w:rsid w:val="00F929DA"/>
    <w:rsid w:val="00F97BAC"/>
    <w:rsid w:val="00FA1985"/>
    <w:rsid w:val="00FB1C7E"/>
    <w:rsid w:val="00FB3DE0"/>
    <w:rsid w:val="00FC30B7"/>
    <w:rsid w:val="00FC46BD"/>
    <w:rsid w:val="00FD09F6"/>
    <w:rsid w:val="00FD0BAB"/>
    <w:rsid w:val="00FD12AC"/>
    <w:rsid w:val="00FE190F"/>
    <w:rsid w:val="00FF6D5C"/>
    <w:rsid w:val="0D745238"/>
    <w:rsid w:val="13060371"/>
    <w:rsid w:val="1C0C212F"/>
    <w:rsid w:val="2A8C5042"/>
    <w:rsid w:val="31CF59F0"/>
    <w:rsid w:val="343763CA"/>
    <w:rsid w:val="41E815F5"/>
    <w:rsid w:val="4A222E8B"/>
    <w:rsid w:val="4D7D3CE5"/>
    <w:rsid w:val="55D82EC2"/>
    <w:rsid w:val="5CC43042"/>
    <w:rsid w:val="65293EFC"/>
    <w:rsid w:val="6B413DA5"/>
    <w:rsid w:val="6C0E2555"/>
    <w:rsid w:val="76316AD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17"/>
    <w:qFormat/>
    <w:uiPriority w:val="0"/>
    <w:pPr>
      <w:keepNext/>
      <w:keepLines/>
      <w:spacing w:before="340" w:after="330" w:line="578" w:lineRule="auto"/>
      <w:outlineLvl w:val="0"/>
    </w:pPr>
    <w:rPr>
      <w:rFonts w:ascii="Calibri" w:hAnsi="Calibri" w:eastAsia="宋体"/>
      <w:b/>
      <w:bCs/>
      <w:kern w:val="44"/>
      <w:sz w:val="44"/>
      <w:szCs w:val="44"/>
    </w:rPr>
  </w:style>
  <w:style w:type="paragraph" w:styleId="3">
    <w:name w:val="heading 2"/>
    <w:basedOn w:val="1"/>
    <w:next w:val="1"/>
    <w:link w:val="18"/>
    <w:qFormat/>
    <w:uiPriority w:val="9"/>
    <w:pPr>
      <w:keepNext/>
      <w:keepLines/>
      <w:spacing w:before="260" w:after="260" w:line="416" w:lineRule="auto"/>
      <w:outlineLvl w:val="1"/>
    </w:pPr>
    <w:rPr>
      <w:rFonts w:ascii="Franklin Gothic Medium" w:hAnsi="Franklin Gothic Medium" w:eastAsia="微软雅黑" w:cs="Times New Roman"/>
      <w:b/>
      <w:bCs/>
      <w:sz w:val="32"/>
      <w:szCs w:val="32"/>
    </w:rPr>
  </w:style>
  <w:style w:type="paragraph" w:styleId="4">
    <w:name w:val="heading 3"/>
    <w:basedOn w:val="1"/>
    <w:next w:val="1"/>
    <w:unhideWhenUsed/>
    <w:qFormat/>
    <w:uiPriority w:val="9"/>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5">
    <w:name w:val="annotation text"/>
    <w:basedOn w:val="1"/>
    <w:link w:val="19"/>
    <w:unhideWhenUsed/>
    <w:qFormat/>
    <w:uiPriority w:val="99"/>
    <w:pPr>
      <w:jc w:val="left"/>
    </w:pPr>
  </w:style>
  <w:style w:type="paragraph" w:styleId="6">
    <w:name w:val="Body Text Indent"/>
    <w:basedOn w:val="1"/>
    <w:link w:val="20"/>
    <w:qFormat/>
    <w:uiPriority w:val="0"/>
    <w:pPr>
      <w:spacing w:line="360" w:lineRule="auto"/>
      <w:ind w:firstLine="480" w:firstLineChars="200"/>
    </w:pPr>
    <w:rPr>
      <w:rFonts w:ascii="Times New Roman" w:hAnsi="Times New Roman" w:eastAsia="宋体"/>
      <w:sz w:val="24"/>
      <w:szCs w:val="24"/>
    </w:rPr>
  </w:style>
  <w:style w:type="paragraph" w:styleId="7">
    <w:name w:val="Balloon Text"/>
    <w:basedOn w:val="1"/>
    <w:link w:val="21"/>
    <w:unhideWhenUsed/>
    <w:qFormat/>
    <w:uiPriority w:val="99"/>
    <w:rPr>
      <w:sz w:val="18"/>
      <w:szCs w:val="18"/>
    </w:r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11">
    <w:name w:val="annotation subject"/>
    <w:basedOn w:val="5"/>
    <w:next w:val="5"/>
    <w:link w:val="24"/>
    <w:unhideWhenUsed/>
    <w:qFormat/>
    <w:uiPriority w:val="99"/>
    <w:rPr>
      <w:b/>
      <w:bCs/>
    </w:rPr>
  </w:style>
  <w:style w:type="table" w:styleId="13">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Strong"/>
    <w:basedOn w:val="14"/>
    <w:qFormat/>
    <w:uiPriority w:val="22"/>
    <w:rPr>
      <w:b/>
    </w:rPr>
  </w:style>
  <w:style w:type="character" w:styleId="16">
    <w:name w:val="annotation reference"/>
    <w:unhideWhenUsed/>
    <w:qFormat/>
    <w:uiPriority w:val="99"/>
    <w:rPr>
      <w:sz w:val="21"/>
      <w:szCs w:val="21"/>
    </w:rPr>
  </w:style>
  <w:style w:type="character" w:customStyle="1" w:styleId="17">
    <w:name w:val="标题 1 Char"/>
    <w:link w:val="2"/>
    <w:qFormat/>
    <w:uiPriority w:val="0"/>
    <w:rPr>
      <w:rFonts w:ascii="Calibri" w:hAnsi="Calibri" w:eastAsia="宋体"/>
      <w:b/>
      <w:bCs/>
      <w:kern w:val="44"/>
      <w:sz w:val="44"/>
      <w:szCs w:val="44"/>
    </w:rPr>
  </w:style>
  <w:style w:type="character" w:customStyle="1" w:styleId="18">
    <w:name w:val="标题 2 Char"/>
    <w:link w:val="3"/>
    <w:qFormat/>
    <w:uiPriority w:val="9"/>
    <w:rPr>
      <w:rFonts w:ascii="Franklin Gothic Medium" w:hAnsi="Franklin Gothic Medium" w:eastAsia="微软雅黑" w:cs="Times New Roman"/>
      <w:b/>
      <w:bCs/>
      <w:sz w:val="32"/>
      <w:szCs w:val="32"/>
    </w:rPr>
  </w:style>
  <w:style w:type="character" w:customStyle="1" w:styleId="19">
    <w:name w:val="批注文字 Char"/>
    <w:link w:val="5"/>
    <w:semiHidden/>
    <w:qFormat/>
    <w:uiPriority w:val="99"/>
    <w:rPr>
      <w:kern w:val="2"/>
      <w:sz w:val="21"/>
      <w:szCs w:val="22"/>
    </w:rPr>
  </w:style>
  <w:style w:type="character" w:customStyle="1" w:styleId="20">
    <w:name w:val="正文文本缩进 Char"/>
    <w:link w:val="6"/>
    <w:qFormat/>
    <w:uiPriority w:val="0"/>
    <w:rPr>
      <w:rFonts w:ascii="Times New Roman" w:hAnsi="Times New Roman" w:eastAsia="宋体"/>
      <w:kern w:val="2"/>
      <w:sz w:val="24"/>
      <w:szCs w:val="24"/>
    </w:rPr>
  </w:style>
  <w:style w:type="character" w:customStyle="1" w:styleId="21">
    <w:name w:val="批注框文本 Char"/>
    <w:link w:val="7"/>
    <w:semiHidden/>
    <w:qFormat/>
    <w:uiPriority w:val="99"/>
    <w:rPr>
      <w:kern w:val="2"/>
      <w:sz w:val="18"/>
      <w:szCs w:val="18"/>
    </w:rPr>
  </w:style>
  <w:style w:type="character" w:customStyle="1" w:styleId="22">
    <w:name w:val="页脚 Char"/>
    <w:link w:val="8"/>
    <w:qFormat/>
    <w:uiPriority w:val="99"/>
    <w:rPr>
      <w:sz w:val="18"/>
      <w:szCs w:val="18"/>
    </w:rPr>
  </w:style>
  <w:style w:type="character" w:customStyle="1" w:styleId="23">
    <w:name w:val="页眉 Char"/>
    <w:link w:val="9"/>
    <w:qFormat/>
    <w:uiPriority w:val="99"/>
    <w:rPr>
      <w:sz w:val="18"/>
      <w:szCs w:val="18"/>
    </w:rPr>
  </w:style>
  <w:style w:type="character" w:customStyle="1" w:styleId="24">
    <w:name w:val="批注主题 Char"/>
    <w:link w:val="11"/>
    <w:semiHidden/>
    <w:qFormat/>
    <w:uiPriority w:val="99"/>
    <w:rPr>
      <w:b/>
      <w:bCs/>
      <w:kern w:val="2"/>
      <w:sz w:val="21"/>
      <w:szCs w:val="22"/>
    </w:rPr>
  </w:style>
  <w:style w:type="paragraph" w:customStyle="1" w:styleId="25">
    <w:name w:val="文头字"/>
    <w:basedOn w:val="1"/>
    <w:qFormat/>
    <w:uiPriority w:val="0"/>
    <w:pPr>
      <w:widowControl/>
      <w:adjustRightInd w:val="0"/>
      <w:snapToGrid w:val="0"/>
      <w:spacing w:before="200" w:line="360" w:lineRule="auto"/>
      <w:jc w:val="center"/>
      <w:textAlignment w:val="baseline"/>
    </w:pPr>
    <w:rPr>
      <w:rFonts w:ascii="宋体" w:hAnsi="Times New Roman" w:eastAsia="宋体"/>
      <w:b/>
      <w:snapToGrid w:val="0"/>
      <w:color w:val="FF0000"/>
      <w:spacing w:val="100"/>
      <w:kern w:val="0"/>
      <w:sz w:val="48"/>
      <w:szCs w:val="20"/>
    </w:rPr>
  </w:style>
  <w:style w:type="character" w:customStyle="1" w:styleId="26">
    <w:name w:val="line21"/>
    <w:qFormat/>
    <w:uiPriority w:val="0"/>
    <w:rPr>
      <w:sz w:val="15"/>
      <w:szCs w:val="15"/>
    </w:rPr>
  </w:style>
  <w:style w:type="paragraph" w:styleId="2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oleObject" Target="embeddings/oleObject10.bin"/><Relationship Id="rId22" Type="http://schemas.openxmlformats.org/officeDocument/2006/relationships/oleObject" Target="embeddings/oleObject9.bin"/><Relationship Id="rId21" Type="http://schemas.openxmlformats.org/officeDocument/2006/relationships/oleObject" Target="embeddings/oleObject8.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7</Pages>
  <Words>3636</Words>
  <Characters>3805</Characters>
  <Lines>5</Lines>
  <Paragraphs>1</Paragraphs>
  <TotalTime>12</TotalTime>
  <ScaleCrop>false</ScaleCrop>
  <LinksUpToDate>false</LinksUpToDate>
  <CharactersWithSpaces>3870</CharactersWithSpaces>
  <Application>WPS Office_12.8.2.19795_F1E327BC-269C-435d-A152-05C5408002CA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2018-01-12T01:57:00Z</dcterms:created>
  <dc:creator>lihui</dc:creator>
  <cp:lastModifiedBy>ZHANGYUYE</cp:lastModifiedBy>
  <cp:lastPrinted>2014-02-11T01:36:00Z</cp:lastPrinted>
  <dcterms:modified xsi:type="dcterms:W3CDTF">2025-11-06T09:58:17Z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2052-12.8.2.19795</vt:lpwstr>
  </property>
  <property fmtid="{D5CDD505-2E9C-101B-9397-08002B2CF9AE}" pid="3" name="ICV">
    <vt:lpwstr>7D487277E4864C4EAE3D6F956212254A_13</vt:lpwstr>
  </property>
  <property fmtid="{D5CDD505-2E9C-101B-9397-08002B2CF9AE}" pid="4" name="KSOTemplateDocerSaveRecord">
    <vt:lpwstr>eyJoZGlkIjoiNGJlYzVmMzM1ZDYyMWU2ZThhMmRjZDg3MGQ1NmIwYmIiLCJ1c2VySWQiOiI0MzQ2MDIwMjEifQ==</vt:lpwstr>
  </property>
</Properties>
</file>