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available</w:t>
            </w:r>
          </w:p>
        </w:tc>
        <w:tc>
          <w:tcPr>
            <w:tcW w:type="dxa" w:w="1728"/>
          </w:tcPr>
          <w:p>
            <w:r>
              <w:t>percent</w:t>
            </w:r>
          </w:p>
        </w:tc>
        <w:tc>
          <w:tcPr>
            <w:tcW w:type="dxa" w:w="1728"/>
          </w:tcPr>
          <w:p>
            <w:r>
              <w:t>used</w:t>
            </w:r>
          </w:p>
        </w:tc>
        <w:tc>
          <w:tcPr>
            <w:tcW w:type="dxa" w:w="1728"/>
          </w:tcPr>
          <w:p>
            <w:r>
              <w:t>free</w:t>
            </w:r>
          </w:p>
        </w:tc>
      </w:tr>
      <w:tr>
        <w:tc>
          <w:tcPr>
            <w:tcW w:type="dxa" w:w="1728"/>
          </w:tcPr>
          <w:p>
            <w:r>
              <w:t>32610.91015625MB</w:t>
            </w:r>
          </w:p>
        </w:tc>
        <w:tc>
          <w:tcPr>
            <w:tcW w:type="dxa" w:w="1728"/>
          </w:tcPr>
          <w:p>
            <w:r>
              <w:t>20109.65234375MB</w:t>
            </w:r>
          </w:p>
        </w:tc>
        <w:tc>
          <w:tcPr>
            <w:tcW w:type="dxa" w:w="1728"/>
          </w:tcPr>
          <w:p>
            <w:r>
              <w:t>38.3%</w:t>
            </w:r>
          </w:p>
        </w:tc>
        <w:tc>
          <w:tcPr>
            <w:tcW w:type="dxa" w:w="1728"/>
          </w:tcPr>
          <w:p>
            <w:r>
              <w:t>12501.2578125MB</w:t>
            </w:r>
          </w:p>
        </w:tc>
        <w:tc>
          <w:tcPr>
            <w:tcW w:type="dxa" w:w="1728"/>
          </w:tcPr>
          <w:p>
            <w:r>
              <w:t>20109.65234375MB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