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FacetWire Document Import</w:t>
      </w:r>
    </w:p>
    <w:p>
      <w:r>
        <w:t xml:space="preserve">中文段落：这是可追溯的 DOCX 结构化导入。</w:t>
      </w:r>
      <w:r>
        <w:rPr>
          <w:b/>
          <w:bCs/>
        </w:rPr>
        <w:t xml:space="preserve"> Bold / 加粗</w:t>
      </w:r>
      <w:r>
        <w:rPr>
          <w:i/>
          <w:iCs/>
        </w:rPr>
        <w:t xml:space="preserve"> Italic</w:t>
      </w:r>
    </w:p>
    <w:p>
      <w:r>
        <w:drawing>
          <wp:inline distT="0" distB="0" distL="0" distR="0">
            <wp:extent cx="2857500" cy="1714500"/>
            <wp:effectExtent t="0" r="0" b="0" l="0"/>
            <wp:docPr id="1" name="fixture-image" descr="FacetWire local image fixture" title="Embedded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7B3C2" w:sz="4"/>
              <w:left w:val="single" w:color="A7B3C2" w:sz="4"/>
              <w:bottom w:val="single" w:color="A7B3C2" w:sz="4"/>
              <w:right w:val="single" w:color="A7B3C2" w:sz="4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</w:t>
            </w:r>
          </w:p>
        </w:tc>
        <w:tc>
          <w:tcPr>
            <w:tcW w:type="dxa" w:w="4680"/>
            <w:tcBorders>
              <w:top w:val="single" w:color="A7B3C2" w:sz="4"/>
              <w:left w:val="single" w:color="A7B3C2" w:sz="4"/>
              <w:bottom w:val="single" w:color="A7B3C2" w:sz="4"/>
              <w:right w:val="single" w:color="A7B3C2" w:sz="4"/>
            </w:tcBorders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A7B3C2" w:sz="4"/>
              <w:left w:val="single" w:color="A7B3C2" w:sz="4"/>
              <w:bottom w:val="single" w:color="A7B3C2" w:sz="4"/>
              <w:right w:val="single" w:color="A7B3C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Paragraph / 段落</w:t>
            </w:r>
          </w:p>
        </w:tc>
        <w:tc>
          <w:tcPr>
            <w:tcW w:type="dxa" w:w="4680"/>
            <w:tcBorders>
              <w:top w:val="single" w:color="A7B3C2" w:sz="4"/>
              <w:left w:val="single" w:color="A7B3C2" w:sz="4"/>
              <w:bottom w:val="single" w:color="A7B3C2" w:sz="4"/>
              <w:right w:val="single" w:color="A7B3C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</w:t>
            </w:r>
          </w:p>
        </w:tc>
      </w:tr>
      <w:tr>
        <w:tc>
          <w:tcPr>
            <w:tcW w:type="dxa" w:w="4680"/>
            <w:tcBorders>
              <w:top w:val="single" w:color="A7B3C2" w:sz="4"/>
              <w:left w:val="single" w:color="A7B3C2" w:sz="4"/>
              <w:bottom w:val="single" w:color="A7B3C2" w:sz="4"/>
              <w:right w:val="single" w:color="A7B3C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/ 图片</w:t>
            </w:r>
          </w:p>
        </w:tc>
        <w:tc>
          <w:tcPr>
            <w:tcW w:type="dxa" w:w="4680"/>
            <w:tcBorders>
              <w:top w:val="single" w:color="A7B3C2" w:sz="4"/>
              <w:left w:val="single" w:color="A7B3C2" w:sz="4"/>
              <w:bottom w:val="single" w:color="A7B3C2" w:sz="4"/>
              <w:right w:val="single" w:color="A7B3C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Embedded</w:t>
            </w:r>
          </w:p>
        </w:tc>
      </w:tr>
      <w:tr>
        <w:tc>
          <w:tcPr>
            <w:tcW w:type="dxa" w:w="4680"/>
            <w:tcBorders>
              <w:top w:val="single" w:color="A7B3C2" w:sz="4"/>
              <w:left w:val="single" w:color="A7B3C2" w:sz="4"/>
              <w:bottom w:val="single" w:color="A7B3C2" w:sz="4"/>
              <w:right w:val="single" w:color="A7B3C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Pagination / 分页</w:t>
            </w:r>
          </w:p>
        </w:tc>
        <w:tc>
          <w:tcPr>
            <w:tcW w:type="dxa" w:w="4680"/>
            <w:tcBorders>
              <w:top w:val="single" w:color="A7B3C2" w:sz="4"/>
              <w:left w:val="single" w:color="A7B3C2" w:sz="4"/>
              <w:bottom w:val="single" w:color="A7B3C2" w:sz="4"/>
              <w:right w:val="single" w:color="A7B3C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Flow</w:t>
            </w:r>
          </w:p>
        </w:tc>
      </w:tr>
    </w:tbl>
    <w:p>
      <w:pPr>
        <w:pStyle w:val="Heading1"/>
        <w:pageBreakBefore/>
      </w:pPr>
      <w:r>
        <w:t xml:space="preserve">Second page / 第二页</w:t>
      </w:r>
    </w:p>
    <w:p>
      <w:r>
        <w:t xml:space="preserve">This paragraph begins after an explicit page break. The original source document is never overwritten.</w:t>
      </w:r>
    </w:p>
    <w:p>
      <w:r>
        <w:t xml:space="preserve">Paragraph 1: Flow should preserve source order and show all text. Stable source IDs identify the package part and structural location.</w:t>
      </w:r>
    </w:p>
    <w:p>
      <w:r>
        <w:t xml:space="preserve">Paragraph 2: Flow should preserve source order and show all text. Stable source IDs identify the package part and structural location.</w:t>
      </w:r>
    </w:p>
    <w:p>
      <w:r>
        <w:t xml:space="preserve">Paragraph 3: Flow should preserve source order and show all text. Stable source IDs identify the package part and structural location.</w:t>
      </w:r>
    </w:p>
    <w:p>
      <w:r>
        <w:t xml:space="preserve">Paragraph 4: Flow should preserve source order and show all text. Stable source IDs identify the package part and structural location.</w:t>
      </w:r>
    </w:p>
    <w:p>
      <w:r>
        <w:t xml:space="preserve">Paragraph 5: Flow should preserve source order and show all text. Stable source IDs identify the package part and structural location.</w:t>
      </w:r>
    </w:p>
    <w:p>
      <w:r>
        <w:t xml:space="preserve">Paragraph 6: Flow should preserve source order and show all text. Stable source IDs identify the package part and structural location.</w:t>
      </w:r>
    </w:p>
    <w:p>
      <w:r>
        <w:t xml:space="preserve">Paragraph 7: Flow should preserve source order and show all text. Stable source IDs identify the package part and structural location.</w:t>
      </w:r>
    </w:p>
    <w:p>
      <w:r>
        <w:t xml:space="preserve">Paragraph 8: Flow should preserve source order and show all text. Stable source IDs identify the package part and structural location.</w:t>
      </w:r>
    </w:p>
    <w:p>
      <w:r>
        <w:t xml:space="preserve">Paragraph 9: Flow should preserve source order and show all text. Stable source IDs identify the package part and structural location.</w:t>
      </w:r>
    </w:p>
    <w:p>
      <w:r>
        <w:t xml:space="preserve">Paragraph 10: Flow should preserve source order and show all text. Stable source IDs identify the package part and structural location.</w:t>
      </w:r>
    </w:p>
    <w:p>
      <w:r>
        <w:t xml:space="preserve">Paragraph 11: Flow should preserve source order and show all text. Stable source IDs identify the package part and structural location.</w:t>
      </w:r>
    </w:p>
    <w:p>
      <w:r>
        <w:t xml:space="preserve">Paragraph 12: Flow should preserve source order and show all text. Stable source IDs identify the package part and structural location.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5f07b07d51c0e857aca6a9a98366705d5b97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2026-09-02T19:03:37.034Z</dcterms:created>
  <dcterms:modified xsi:type="dcterms:W3CDTF">2026-09-02T19:03:37.036Z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