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E2EC9" w14:textId="2ED3D55E" w:rsidR="009907FC" w:rsidRDefault="009907FC" w:rsidP="009907FC">
      <w:pPr>
        <w:pStyle w:val="AMIATitle"/>
      </w:pPr>
      <w:r>
        <w:t>Deep Propensity Network using a Sparse Autoencoder for Estimation of Treatment Effects</w:t>
      </w:r>
    </w:p>
    <w:p w14:paraId="60859D79" w14:textId="3D09B36C" w:rsidR="009907FC" w:rsidRDefault="009907FC" w:rsidP="009907FC">
      <w:pPr>
        <w:pStyle w:val="AMIAAuthors"/>
      </w:pPr>
      <w:r>
        <w:t>Shantanu Ghosh</w:t>
      </w:r>
      <w:r w:rsidR="00D33DE1" w:rsidRPr="00B547B7">
        <w:rPr>
          <w:vertAlign w:val="superscript"/>
        </w:rPr>
        <w:t>1</w:t>
      </w:r>
      <w:r>
        <w:t>,</w:t>
      </w:r>
      <w:r w:rsidR="008014E4">
        <w:t xml:space="preserve"> </w:t>
      </w:r>
      <w:r w:rsidR="00514C5C">
        <w:t xml:space="preserve">Jiang </w:t>
      </w:r>
      <w:proofErr w:type="spellStart"/>
      <w:r w:rsidR="00514C5C">
        <w:t>Bian</w:t>
      </w:r>
      <w:proofErr w:type="spellEnd"/>
      <w:r w:rsidR="008014E4">
        <w:t>, Ph.D.</w:t>
      </w:r>
      <w:r w:rsidR="008014E4" w:rsidRPr="008803D4">
        <w:rPr>
          <w:vertAlign w:val="superscript"/>
        </w:rPr>
        <w:t>2</w:t>
      </w:r>
      <w:r w:rsidR="008014E4">
        <w:t xml:space="preserve">, </w:t>
      </w:r>
      <w:r w:rsidR="00353BBB">
        <w:t>Yi Guo</w:t>
      </w:r>
      <w:r w:rsidR="008014E4">
        <w:t>, Ph.D.</w:t>
      </w:r>
      <w:r w:rsidR="007F5993">
        <w:rPr>
          <w:vertAlign w:val="superscript"/>
        </w:rPr>
        <w:t>2</w:t>
      </w:r>
      <w:r>
        <w:t xml:space="preserve"> </w:t>
      </w:r>
      <w:r w:rsidR="009A3652">
        <w:t>Mattia Prosperi</w:t>
      </w:r>
      <w:r>
        <w:t xml:space="preserve">, </w:t>
      </w:r>
      <w:r w:rsidR="009A3652">
        <w:t>Ph.D.</w:t>
      </w:r>
      <w:r w:rsidR="007F5993">
        <w:rPr>
          <w:vertAlign w:val="superscript"/>
        </w:rPr>
        <w:t>3</w:t>
      </w:r>
    </w:p>
    <w:p w14:paraId="71651AB0" w14:textId="0B22FA34" w:rsidR="009907FC" w:rsidRDefault="009907FC" w:rsidP="00FB5DA7">
      <w:pPr>
        <w:pStyle w:val="AMIAAffiliations"/>
      </w:pPr>
      <w:r w:rsidRPr="00B547B7">
        <w:rPr>
          <w:vertAlign w:val="superscript"/>
        </w:rPr>
        <w:t>1</w:t>
      </w:r>
      <w:r w:rsidR="00FB5DA7">
        <w:t>Computer and Information Science and Engineering</w:t>
      </w:r>
      <w:r>
        <w:t>,</w:t>
      </w:r>
      <w:r w:rsidR="00FB5DA7">
        <w:t xml:space="preserve"> University of Florida,</w:t>
      </w:r>
      <w:r>
        <w:t xml:space="preserve"> </w:t>
      </w:r>
      <w:r w:rsidR="00FB5DA7">
        <w:t>Gainesville</w:t>
      </w:r>
      <w:r>
        <w:t xml:space="preserve">, </w:t>
      </w:r>
      <w:r w:rsidR="00FB5DA7">
        <w:t>Florida</w:t>
      </w:r>
      <w:r>
        <w:t xml:space="preserve">, </w:t>
      </w:r>
      <w:r w:rsidR="00FB5DA7">
        <w:t>USA</w:t>
      </w:r>
      <w:r>
        <w:t xml:space="preserve">; </w:t>
      </w:r>
      <w:r w:rsidRPr="006C79A8">
        <w:rPr>
          <w:vertAlign w:val="superscript"/>
        </w:rPr>
        <w:t>2</w:t>
      </w:r>
      <w:r w:rsidR="00724CD8">
        <w:t>Department of Health Outcomes and Biomedical Informatics, College of Medicine</w:t>
      </w:r>
      <w:r>
        <w:t xml:space="preserve">, </w:t>
      </w:r>
      <w:r w:rsidR="00FB5DA7">
        <w:t>University of Florida, Gainesville, Florida, USA</w:t>
      </w:r>
      <w:r w:rsidR="007F5993">
        <w:t xml:space="preserve">; </w:t>
      </w:r>
      <w:r w:rsidR="007F5993">
        <w:rPr>
          <w:vertAlign w:val="superscript"/>
        </w:rPr>
        <w:t>3</w:t>
      </w:r>
      <w:r w:rsidR="00724CD8">
        <w:t>Department of Epidemiology, College of Public Health and Health Professions &amp; College of Medicine</w:t>
      </w:r>
      <w:r w:rsidR="007F5993">
        <w:t>, University of Florida, Gainesville, Florida, USA</w:t>
      </w:r>
    </w:p>
    <w:p w14:paraId="57E5438D" w14:textId="115D6DF0" w:rsidR="000F1FCF" w:rsidRDefault="000F1FCF" w:rsidP="00FB5DA7">
      <w:pPr>
        <w:pStyle w:val="AMIAAffiliations"/>
      </w:pPr>
    </w:p>
    <w:p w14:paraId="4F7E0757" w14:textId="77777777" w:rsidR="000F1FCF" w:rsidRDefault="000F1FCF" w:rsidP="000F1FCF">
      <w:pPr>
        <w:pStyle w:val="AMIAAbstractHeading"/>
      </w:pPr>
      <w:r w:rsidRPr="006C79A8">
        <w:t>Abstract</w:t>
      </w:r>
    </w:p>
    <w:p w14:paraId="7DAF5373" w14:textId="37E3BA6D" w:rsidR="0059588C" w:rsidRDefault="0059588C" w:rsidP="00180F95">
      <w:pPr>
        <w:spacing w:line="480" w:lineRule="auto"/>
        <w:rPr>
          <w:i/>
          <w:iCs/>
          <w:sz w:val="20"/>
          <w:szCs w:val="20"/>
        </w:rPr>
      </w:pPr>
      <w:r w:rsidRPr="0059588C">
        <w:rPr>
          <w:i/>
          <w:iCs/>
          <w:sz w:val="20"/>
          <w:szCs w:val="20"/>
        </w:rPr>
        <w:t>Understanding causality is critical, especially in biomedical and social science; and the gold-standard solution is to perform randomized controlled experiments, enacting interventional probabilities as opposed to conditional probabilities. However, randomized experiments are not always feasible due to operational or ethical constraints. On the other hand, drawing causal estimates from pre-existing, observational data is problematic, because datasets are often littered with underlying bias. Identifying the true causal effects however is important to evaluate what-if scenarios, i.e. counterfactuals. In fact, a prediction model based only on conditional probabilities, even with a perfect accuracy, is neither guaranteed to estimate the correct causal effect, in terms of individual or average treatment effects (ITE, ATE), nor to calculate the correct counterfactuals. Propensity score matching (PSM) is a popular statistical approach for observational data that attempts to estimate the effect of an intervention, e.g. a medical treatment, by taking into account other factors that may bias the chance to undertake the intervention itself, e.g. social discrimination. PSM is typically implemented with logistic regression, but its performance can be limited due to linearity, high-dimensionality, and residual confounding in the feature space. Recently, deep counterfactual neural networks with propensity dropout (DCN-PD) have been introduced, enabling nonlinear PSM with advantage over classical methods in terms of treatment assignment error and ATE. In this work, we propose a deep propensity network using a sparse autoencoder (DPN-SA), a novel deep learning architecture for PSM to tackle the problems of high</w:t>
      </w:r>
      <w:r>
        <w:rPr>
          <w:i/>
          <w:iCs/>
          <w:sz w:val="20"/>
          <w:szCs w:val="20"/>
        </w:rPr>
        <w:t xml:space="preserve"> </w:t>
      </w:r>
      <w:r w:rsidRPr="0059588C">
        <w:rPr>
          <w:i/>
          <w:iCs/>
          <w:sz w:val="20"/>
          <w:szCs w:val="20"/>
        </w:rPr>
        <w:t xml:space="preserve">dimensionality and residual confounding. Tests performed on real-world observational data showed that the DPN-SA outperforms logistic regression-, LASSO-, and DCN-PD in estimating treatment assignment probability, ITE and ATE. The code is available under the MIT license on Github at: </w:t>
      </w:r>
      <w:hyperlink r:id="rId5" w:history="1">
        <w:r w:rsidR="007237C8" w:rsidRPr="0059588C">
          <w:rPr>
            <w:rStyle w:val="Hyperlink"/>
            <w:i/>
            <w:iCs/>
            <w:sz w:val="20"/>
            <w:szCs w:val="20"/>
          </w:rPr>
          <w:t>https://github.com/Shantanu48114860/</w:t>
        </w:r>
      </w:hyperlink>
    </w:p>
    <w:p w14:paraId="4293DFB9" w14:textId="77777777" w:rsidR="007237C8" w:rsidRPr="0059588C" w:rsidRDefault="007237C8" w:rsidP="00180F95">
      <w:pPr>
        <w:spacing w:line="480" w:lineRule="auto"/>
        <w:rPr>
          <w:i/>
          <w:iCs/>
          <w:sz w:val="20"/>
          <w:szCs w:val="20"/>
        </w:rPr>
      </w:pPr>
    </w:p>
    <w:p w14:paraId="38914D0B" w14:textId="242532DF" w:rsidR="002431A5" w:rsidRDefault="00FD5372" w:rsidP="00180F95">
      <w:pPr>
        <w:pStyle w:val="AMIAHeading"/>
        <w:spacing w:line="480" w:lineRule="auto"/>
      </w:pPr>
      <w:r>
        <w:lastRenderedPageBreak/>
        <w:t xml:space="preserve">1 </w:t>
      </w:r>
      <w:r w:rsidR="002431A5">
        <w:t>Introduction</w:t>
      </w:r>
    </w:p>
    <w:p w14:paraId="1EBEC2BE" w14:textId="324313BB" w:rsidR="009F6583" w:rsidRDefault="00180F95" w:rsidP="00270D01">
      <w:pPr>
        <w:spacing w:line="480" w:lineRule="auto"/>
        <w:rPr>
          <w:sz w:val="20"/>
          <w:szCs w:val="20"/>
        </w:rPr>
      </w:pPr>
      <w:r w:rsidRPr="00180F95">
        <w:rPr>
          <w:sz w:val="20"/>
          <w:szCs w:val="20"/>
        </w:rPr>
        <w:t>In many research fields, such as biomedical and social sciences, preexisting (i.e. observational) data may contain underlying bias, arising in various steps of the data generation or collation process, for which datasets cannot be used seamlessly to draw causal claims</w:t>
      </w:r>
      <w:r w:rsidR="00E635ED">
        <w:rPr>
          <w:sz w:val="20"/>
          <w:szCs w:val="20"/>
        </w:rPr>
        <w:t>.</w:t>
      </w:r>
      <w:r w:rsidR="003A39AD">
        <w:rPr>
          <w:sz w:val="20"/>
          <w:szCs w:val="20"/>
        </w:rPr>
        <w:fldChar w:fldCharType="begin" w:fldLock="1"/>
      </w:r>
      <w:r w:rsidR="00E635ED">
        <w:rPr>
          <w:sz w:val="20"/>
          <w:szCs w:val="20"/>
        </w:rPr>
        <w:instrText>ADDIN CSL_CITATION {"citationItems":[{"id":"ITEM-1","itemData":{"DOI":"10.1038/s42256-020-0197-y","ISSN":"2522-5839","abstract":"A dvances in computing and machine learning have opened unprecedented paths to processing and inferring knowledge from big data. Deep learning has been game-changing for many analytics challenges, beating humans and other machine learning approaches in decision or action tasks, such as playing games, and aiding or augmenting tasks such as driving or recognizing manipulated images. The potential applications of deep learning in healthcare have been widely speculated 1 , especially in precision medicine-the timely and tailored prevention, identification, diagnosis and treatment of disease. However, the use of data-driven machine learning approaches to model causality-for instance, to uncover new causes of disease or assess treatment effects-carries dangers of unintended consequences. Therefore, the Hippocratic principle of 'first do no harm' is being adopted 2 alongside rigorous study design, validation and implementation, with attention to ethics and bias avoidance. Precision medicine models are not only descriptive or predic-tive-for example, assessing the mortality risk for a patient undergoing a surgical procedure-but also decision-supporting or interventional-for example, choosing and personalizing the procedure with the highest probability of favourable outcome. Predicting risks and outcomes differs from weighing interventions and intervening. Prediction calculates a future event in the absence of any action or change; intervention presumes an enacted choice that may influence the future, which requires consideration of the underlying causal structure. Intervention imagines how the world would be if we made different choices-for example, 'would the patient be cured if we administered amoxicillin instead of a cephalosporin for their upper respiratory tract infection?' or 'if a pre-hypertensive patient had accomplished 10-15 min of moderate physical activity per day instead of being prescribed a diuretic, would they have become hypertensive five years later?' By asking ourselves what would have been the effect of something if we had not taken an action, or vice versa, we are computing so-called counterfactuals. Among different counterfactual options, we choose the ones that minimize harm while maximizing patient benefit. A similar cognitive process happens when a deep learning machine plays a game and must decide on the next move. Such an artificial neural network architecture has been fed the game ruleset and millions of game scenarios, and has learn…","author":[{"dropping-particle":"","family":"Prosperi","given":"Mattia","non-dropping-particle":"","parse-names":false,"suffix":""},{"dropping-particle":"","family":"Guo","given":"Yi","non-dropping-particle":"","parse-names":false,"suffix":""},{"dropping-particle":"","family":"Sperrin","given":"Matt","non-dropping-particle":"","parse-names":false,"suffix":""},{"dropping-particle":"","family":"Koopman","given":"James S.","non-dropping-particle":"","parse-names":false,"suffix":""},{"dropping-particle":"","family":"Min","given":"Jae S.","non-dropping-particle":"","parse-names":false,"suffix":""},{"dropping-particle":"","family":"He","given":"Xing","non-dropping-particle":"","parse-names":false,"suffix":""},{"dropping-particle":"","family":"Rich","given":"Shannan","non-dropping-particle":"","parse-names":false,"suffix":""},{"dropping-particle":"","family":"Wang","given":"Mo","non-dropping-particle":"","parse-names":false,"suffix":""},{"dropping-particle":"","family":"Buchan","given":"Iain E.","non-dropping-particle":"","parse-names":false,"suffix":""},{"dropping-particle":"","family":"Bian","given":"Jiang","non-dropping-particle":"","parse-names":false,"suffix":""}],"container-title":"Nature Machine Intelligence","id":"ITEM-1","issue":"7","issued":{"date-parts":[["2020","7","13"]]},"page":"369-375","publisher":"Nature Publishing Group","title":"Causal inference and counterfactual prediction in machine learning for actionable healthcare","type":"article-journal","volume":"2"},"uris":["http://www.mendeley.com/documents/?uuid=76e543f1-853a-31b3-86c0-600a8bd3e869"]}],"mendeley":{"formattedCitation":"[1]","plainTextFormattedCitation":"[1]","previouslyFormattedCitation":"[1]"},"properties":{"noteIndex":0},"schema":"https://github.com/citation-style-language/schema/raw/master/csl-citation.json"}</w:instrText>
      </w:r>
      <w:r w:rsidR="003A39AD">
        <w:rPr>
          <w:sz w:val="20"/>
          <w:szCs w:val="20"/>
        </w:rPr>
        <w:fldChar w:fldCharType="separate"/>
      </w:r>
      <w:r w:rsidR="00E635ED" w:rsidRPr="00E635ED">
        <w:rPr>
          <w:noProof/>
          <w:sz w:val="20"/>
          <w:szCs w:val="20"/>
        </w:rPr>
        <w:t>[1]</w:t>
      </w:r>
      <w:r w:rsidR="003A39AD">
        <w:rPr>
          <w:sz w:val="20"/>
          <w:szCs w:val="20"/>
        </w:rPr>
        <w:fldChar w:fldCharType="end"/>
      </w:r>
      <w:r w:rsidR="00E635ED">
        <w:rPr>
          <w:sz w:val="20"/>
          <w:szCs w:val="20"/>
        </w:rPr>
        <w:t xml:space="preserve"> </w:t>
      </w:r>
      <w:r w:rsidRPr="00180F95">
        <w:rPr>
          <w:sz w:val="20"/>
          <w:szCs w:val="20"/>
        </w:rPr>
        <w:t>For instance, one could be interested in studying the effectiveness of certain medical treatments or interventions in the population, but the way in which people access the healthcare system could be different (e.g. due to social inequality or systemic racism). Therefore, due to such bias, the causal effects of the treatments could not be estimated properly. One solution would be to force the interventions to be non-discriminated, performing randomized controlled experiments or trials (RCTs)</w:t>
      </w:r>
      <w:r w:rsidR="00E635ED">
        <w:rPr>
          <w:sz w:val="20"/>
          <w:szCs w:val="20"/>
        </w:rPr>
        <w:t>.</w:t>
      </w:r>
      <w:r w:rsidRPr="00180F95">
        <w:rPr>
          <w:sz w:val="20"/>
          <w:szCs w:val="20"/>
        </w:rPr>
        <w:t xml:space="preserve"> </w:t>
      </w:r>
      <w:r w:rsidR="00AC353E">
        <w:rPr>
          <w:sz w:val="20"/>
          <w:szCs w:val="20"/>
        </w:rPr>
        <w:fldChar w:fldCharType="begin" w:fldLock="1"/>
      </w:r>
      <w:r w:rsidR="00E635ED">
        <w:rPr>
          <w:sz w:val="20"/>
          <w:szCs w:val="20"/>
        </w:rPr>
        <w:instrText>ADDIN CSL_CITATION {"citationItems":[{"id":"ITEM-1","itemData":{"author":[{"dropping-particle":"","family":"Sibbald","given":"Bonnie","non-dropping-particle":"","parse-names":false,"suffix":""},{"dropping-particle":"","family":"Roland","given":"Martin","non-dropping-particle":"","parse-names":false,"suffix":""}],"container-title":"Am J Orthopsychiatry","id":"ITEM-1","issued":{"date-parts":[["1994"]]},"number-of-pages":"137-178","title":"24 Herman JL. Histories of violence in an outpatient population: an exploratory study","type":"report","volume":"165"},"uris":["http://www.mendeley.com/documents/?uuid=1a31ed4e-2196-36ac-a6c8-09b7d062ce37"]},{"id":"ITEM-2","itemData":{"DOI":"10.1056/NEJM200006223422507","ISSN":"00284793","PMID":"10861325","abstract":"Background: In the hierarchy of research designs, the results of randomized, controlled trials are considered to be evidence of the highest grade, whereas observational studies are viewed as having less validity because they reportedly overestimate treatment effects. We used published meta-analyses to identify randomized clinical trials and observational studies that examined the same clinical topics. We then compared the results of the original reports according to the type of research design. Methods: A search of the Medline data base for articles published in five major medical journals from 1991 to 1995 identified meta-analyses of randomized, controlled trials and meta-analyses of either cohort or case-control studies that assessed the same intervention. For each of five topics, summary estimates and 95 percent confidence intervals were calculated on the basis of data from the individual randomized, controlled trials and the individual observational studies. Results: For the five clinical topics and 99 reports evaluated, the average results of the observational studies were remarkably similar to those of the randomized, controlled trials. For example, analysis of 13 randomized, controlled trials of the effectiveness of bacille Calmette-Guerin vaccine in preventing active tuberculosis yielded a relative risk of 0.49 (95 percent confidence interval, 0.34 to 0.70) among vaccinated patients, as compared with an odds ratio of 0.50 (95 percent confidence interval, 0.39 to 0.65) from 10 case-control studies. In addition, the range of the point estimates for the effect of vaccination was wider for the randomized, controlled trials (0.20 to 1.56) than for the observational studies (0.17 to 0.84). Conclusions: The results of well-designed observational studies (with either a cohort or a case-control design) do not systematically overestimate the magnitude of the effects of treatment as compared with those in randomized, controlled trials on the same topic. (C) 2000, Massachusetts Medical Society.","author":[{"dropping-particle":"","family":"Concato","given":"John","non-dropping-particle":"","parse-names":false,"suffix":""},{"dropping-particle":"","family":"Shah","given":"Nirav","non-dropping-particle":"","parse-names":false,"suffix":""},{"dropping-particle":"","family":"Horwitz","given":"Ralph I.","non-dropping-particle":"","parse-names":false,"suffix":""}],"container-title":"New England Journal of Medicine","id":"ITEM-2","issue":"25","issued":{"date-parts":[["2000","6","22"]]},"page":"1887-1892","publisher":"NIH Public Access","title":"Randomized, controlled trials, observational studies, and the hierarchy of research designs","type":"article-journal","volume":"342"},"uris":["http://www.mendeley.com/documents/?uuid=1e5141fc-a6d0-3bd4-8ba9-53311619733e"]}],"mendeley":{"formattedCitation":"[2,3]","plainTextFormattedCitation":"[2,3]","previouslyFormattedCitation":"[2,3]"},"properties":{"noteIndex":0},"schema":"https://github.com/citation-style-language/schema/raw/master/csl-citation.json"}</w:instrText>
      </w:r>
      <w:r w:rsidR="00AC353E">
        <w:rPr>
          <w:sz w:val="20"/>
          <w:szCs w:val="20"/>
        </w:rPr>
        <w:fldChar w:fldCharType="separate"/>
      </w:r>
      <w:r w:rsidR="00E635ED" w:rsidRPr="00E635ED">
        <w:rPr>
          <w:noProof/>
          <w:sz w:val="20"/>
          <w:szCs w:val="20"/>
        </w:rPr>
        <w:t>[2,3]</w:t>
      </w:r>
      <w:r w:rsidR="00AC353E">
        <w:rPr>
          <w:sz w:val="20"/>
          <w:szCs w:val="20"/>
        </w:rPr>
        <w:fldChar w:fldCharType="end"/>
      </w:r>
      <w:r w:rsidR="00A4611C">
        <w:rPr>
          <w:sz w:val="20"/>
          <w:szCs w:val="20"/>
        </w:rPr>
        <w:t xml:space="preserve"> </w:t>
      </w:r>
      <w:r w:rsidRPr="00180F95">
        <w:rPr>
          <w:sz w:val="20"/>
          <w:szCs w:val="20"/>
        </w:rPr>
        <w:t xml:space="preserve">In </w:t>
      </w:r>
      <w:proofErr w:type="gramStart"/>
      <w:r w:rsidRPr="00180F95">
        <w:rPr>
          <w:sz w:val="20"/>
          <w:szCs w:val="20"/>
        </w:rPr>
        <w:t>a</w:t>
      </w:r>
      <w:proofErr w:type="gramEnd"/>
      <w:r w:rsidRPr="00180F95">
        <w:rPr>
          <w:sz w:val="20"/>
          <w:szCs w:val="20"/>
        </w:rPr>
        <w:t xml:space="preserve"> RCT, individuals are assigned to different treatment (or control, no treatment) groups at random, regardless their background characteristics (i.e. the covariate or feature space). Because of the randomization process, it leads to strong ignorability of individuals’ pre-treatment characteristics, and thus the causal effect of the treatment versus control can be evaluated</w:t>
      </w:r>
      <w:r w:rsidR="00E635ED">
        <w:rPr>
          <w:sz w:val="20"/>
          <w:szCs w:val="20"/>
        </w:rPr>
        <w:t>.</w:t>
      </w:r>
      <w:r w:rsidR="009758A1">
        <w:rPr>
          <w:sz w:val="20"/>
          <w:szCs w:val="20"/>
        </w:rPr>
        <w:fldChar w:fldCharType="begin" w:fldLock="1"/>
      </w:r>
      <w:r w:rsidR="00E635ED">
        <w:rPr>
          <w:sz w:val="20"/>
          <w:szCs w:val="20"/>
        </w:rPr>
        <w:instrText>ADDIN CSL_CITATION {"citationItems":[{"id":"ITEM-1","itemData":{"abstract":"The propensity score is the conditional probability of assignment to a particular treatment given a vector of observed covariates. Both large and small sample theory show that adjustment for the scalar propensity score is sufficient to remove bias due to all observed covariates. Applications include: (i) matched sampling on the univariate propensity score, which is a generalization of discriminant matching, (ii) multivariate adjustment by subclassification on the propensity score where the same subclasses are used to estimate treatment effects for all outcome variables and in all subpopulations, and (iii) visual representation of multivariate covariance adjustment by a two-dimensional plot.","author":[{"dropping-particle":"","family":"Rosenbaum","given":"Paul R","non-dropping-particle":"","parse-names":false,"suffix":""},{"dropping-particle":"","family":"Rubin","given":"Donald B","non-dropping-particle":"","parse-names":false,"suffix":""}],"id":"ITEM-1","issue":"1","issued":{"date-parts":[["1083"]]},"number-of-pages":"41-55","title":"The central role of the propensity score in observational studies for causal effects","type":"report","volume":"70"},"uris":["http://www.mendeley.com/documents/?uuid=9ce5ba8e-0925-3fe4-82a4-6830be9331d7"]}],"mendeley":{"formattedCitation":"[4]","plainTextFormattedCitation":"[4]","previouslyFormattedCitation":"[4]"},"properties":{"noteIndex":0},"schema":"https://github.com/citation-style-language/schema/raw/master/csl-citation.json"}</w:instrText>
      </w:r>
      <w:r w:rsidR="009758A1">
        <w:rPr>
          <w:sz w:val="20"/>
          <w:szCs w:val="20"/>
        </w:rPr>
        <w:fldChar w:fldCharType="separate"/>
      </w:r>
      <w:r w:rsidR="00E635ED" w:rsidRPr="00E635ED">
        <w:rPr>
          <w:noProof/>
          <w:sz w:val="20"/>
          <w:szCs w:val="20"/>
        </w:rPr>
        <w:t>[4]</w:t>
      </w:r>
      <w:r w:rsidR="009758A1">
        <w:rPr>
          <w:sz w:val="20"/>
          <w:szCs w:val="20"/>
        </w:rPr>
        <w:fldChar w:fldCharType="end"/>
      </w:r>
      <w:r w:rsidRPr="00180F95">
        <w:rPr>
          <w:sz w:val="20"/>
          <w:szCs w:val="20"/>
        </w:rPr>
        <w:t xml:space="preserve"> The mean difference between the observed treatment outcomes of two different groups is called the average treatment effect (ATE). Note that the individual treatment effect (ITE) is a missing data problem</w:t>
      </w:r>
      <w:r w:rsidR="00E635ED">
        <w:rPr>
          <w:sz w:val="20"/>
          <w:szCs w:val="20"/>
        </w:rPr>
        <w:fldChar w:fldCharType="begin" w:fldLock="1"/>
      </w:r>
      <w:r w:rsidR="009F6583">
        <w:rPr>
          <w:sz w:val="20"/>
          <w:szCs w:val="20"/>
        </w:rPr>
        <w:instrText>ADDIN CSL_CITATION {"citationItems":[{"id":"ITEM-1","itemData":{"abstract":"While driving home last night, I came to a fork in the road, where I had to make a choice: to take the freeway (X = 1) or go on a surface street named Sepulveda Boulevard (X = 0). I took Sepulveda, only to find out that the traffic was touch and go. As I arrived home, an hour later, I said to myself: \"Gee, I should have taken the freeway.\" What does it mean to say, \"I should have taken the freeway\"? Colloquially, it means, \"If I had taken the freeway, I would have gotten home earlier.\" Scientifically, it means that my mental estimate of the expected driving time on the freeway, on that same day, under the identical circumstances, and governed by the same idiosyncratic driving habits that I have, would have been lower than my actual driving time. This kind of statement-an \"if\" statement in which the \"if\" portion is untrue or unrealized-is known as a counterfactual. The \"if\" portion of a counterfactual is called the hypothetical condition, or more often, the antecedent. We use counterfactuals to emphasize our wish to compare two outcomes (e.g., driving times) under the exact same conditions, differing only in one aspect: the antecedent, which in our case stands for \"taking the freeway\" as opposed to the surface street. The fact that we know the outcome of our actual decision is important, because my estimated driving time on the freeway after seeing the consequences of my actual decision (to take Sepulveda) may be totally different from my estimate prior to seeing the consequence. The consequence (1 hour) may provide valuable evidence for the assessment, for example, that the traffic was particularly heavy on that day, and that it might have been due to a brush fire. My statement \"I should have taken the freeway\" conveys the judgment that whatever mechanisms impeded my speed on Sepulveda would not have affected the speed on the freeway to the same extent. My retrospective estimate is that a freeway drive would have taken less than 1 hour, and this estimate is clearly different than my prospective estimate was, when I made the decision prior to seeing the consequences-otherwise, I would have taken the freeway to begin with.","author":[{"dropping-particle":"","family":"Pearl","given":"Judea","non-dropping-particle":"","parse-names":false,"suffix":""},{"dropping-particle":"","family":"Glymour","given":"Madeleyn","non-dropping-particle":"","parse-names":false,"suffix":""},{"dropping-particle":"","family":"Jewell","given":"Nicholas P","non-dropping-particle":"","parse-names":false,"suffix":""}],"container-title":"Causal Inference in Statistics: A Primer","id":"ITEM-1","issued":{"date-parts":[["2016"]]},"title":"Counterfactuals and their applications","type":"article-journal"},"uris":["http://www.mendeley.com/documents/?uuid=07687e5d-a4d4-4f0b-b1d2-6d3bace76b61"]},{"id":"ITEM-2","itemData":{"DOI":"10.1177/1745691610383511","ISSN":"1745-6924","PMID":"21895672","abstract":"Valid causal inference is central to progress in theoretical and applied psychology. Although the randomized experiment is widely considered the gold standard for determining whether a given exposure increases the likelihood of some specified outcome, experiments are not always feasible and in some cases can result in biased estimates of causal effects. Alternatively, standard observational approaches are limited by the possibility of confounding, reverse causation, and the nonrandom distribution of exposure (i.e., selection). We describe the counterfactual model of causation and apply it to the challenges of causal inference in observational research, with a particular focus on aging. We argue that the study of twin pairs discordant on exposure, and in particular discordant monozygotic twins, provides a useful analog to the idealized counterfactual design. A review of discordant-twin studies in aging reveals that they are consistent with, but do not unambiguously establish, a causal effect of lifestyle factors on important late-life outcomes. Nonetheless, the existing studies are few in number and have clear limitations that have not always been considered in interpreting their results. It is concluded that twin researchers could make greater use of the discordant-twin design as one approach to strengthen causal inferences in observational research.","author":[{"dropping-particle":"","family":"Hernán","given":"Miguel A.","non-dropping-particle":"","parse-names":false,"suffix":""},{"dropping-particle":"","family":"Robins","given":"James M.","non-dropping-particle":"","parse-names":false,"suffix":""}],"container-title":"Causal Inference","id":"ITEM-2","issued":{"date-parts":[["2010"]]},"title":"Causal Inference Part1","type":"article-journal"},"uris":["http://www.mendeley.com/documents/?uuid=e75183ad-99b1-4ad2-a976-b2ee96ab7b77"]}],"mendeley":{"formattedCitation":"[5,6]","plainTextFormattedCitation":"[5,6]","previouslyFormattedCitation":"[5,6]"},"properties":{"noteIndex":0},"schema":"https://github.com/citation-style-language/schema/raw/master/csl-citation.json"}</w:instrText>
      </w:r>
      <w:r w:rsidR="00E635ED">
        <w:rPr>
          <w:sz w:val="20"/>
          <w:szCs w:val="20"/>
        </w:rPr>
        <w:fldChar w:fldCharType="separate"/>
      </w:r>
      <w:r w:rsidR="00E635ED" w:rsidRPr="00E635ED">
        <w:rPr>
          <w:noProof/>
          <w:sz w:val="20"/>
          <w:szCs w:val="20"/>
        </w:rPr>
        <w:t>[5,6]</w:t>
      </w:r>
      <w:r w:rsidR="00E635ED">
        <w:rPr>
          <w:sz w:val="20"/>
          <w:szCs w:val="20"/>
        </w:rPr>
        <w:fldChar w:fldCharType="end"/>
      </w:r>
      <w:r w:rsidRPr="00180F95">
        <w:rPr>
          <w:sz w:val="20"/>
          <w:szCs w:val="20"/>
        </w:rPr>
        <w:t xml:space="preserve"> because only one factual outcome can be observed (a person cannot be assigned to both treatment and control groups).</w:t>
      </w:r>
      <w:r w:rsidR="003A39AD" w:rsidRPr="00180F95">
        <w:rPr>
          <w:sz w:val="20"/>
          <w:szCs w:val="20"/>
        </w:rPr>
        <w:t xml:space="preserve"> </w:t>
      </w:r>
    </w:p>
    <w:p w14:paraId="3BF6FC8F" w14:textId="217492AC" w:rsidR="00180F95" w:rsidRDefault="009F6583" w:rsidP="007F4DBD">
      <w:pPr>
        <w:spacing w:line="480" w:lineRule="auto"/>
        <w:ind w:firstLine="720"/>
        <w:rPr>
          <w:sz w:val="20"/>
          <w:szCs w:val="20"/>
        </w:rPr>
      </w:pPr>
      <w:r w:rsidRPr="009F6583">
        <w:rPr>
          <w:sz w:val="20"/>
          <w:szCs w:val="20"/>
        </w:rPr>
        <w:t>Since RCTs are not always feasible due to ethical or operational constraints, e.g. conducting a RCT to ask individuals to smoke and then assess the effect of smoking toward the development of lung cancer, observational data are often used in attempts to draw these causal conclusions. Nevertheless, when using observational data, one must account for the possible types of underlying bias, including confounders and colliders</w:t>
      </w:r>
      <w:r w:rsidRPr="00270D01">
        <w:rPr>
          <w:sz w:val="20"/>
          <w:szCs w:val="20"/>
        </w:rPr>
        <w:t>.</w:t>
      </w:r>
      <w:r w:rsidRPr="00270D01">
        <w:rPr>
          <w:sz w:val="20"/>
          <w:szCs w:val="20"/>
        </w:rPr>
        <w:fldChar w:fldCharType="begin" w:fldLock="1"/>
      </w:r>
      <w:r w:rsidRPr="00270D01">
        <w:rPr>
          <w:sz w:val="20"/>
          <w:szCs w:val="20"/>
        </w:rPr>
        <w:instrText>ADDIN CSL_CITATION {"citationItems":[{"id":"ITEM-1","itemData":{"DOI":"10.1146/annurev.publhealth.22.1.189","ISSN":"0163-7525","abstract":"s Abstract Consideration of confounding is fundamental to the design, analysis, and interpretation of studies intended to estimate causal effects. Unfortunately, the word confounding has been used synonymously with several other terms, and it has been used to refer to at least four distinct concepts. This paper provides an overview of confounding and related concepts based on a counterfactual model of causation. In this context, which predominates in nonexperimental research, confounding is a source of bias in the estimation of causal effects. Special attention is given to the history of definitions of confounding, the distinction between confounding and confounders, problems in the control of confounding, the relations of confounding to exchangeability and collapsibility, and confounding in randomized trials.","author":[{"dropping-particle":"","family":"Greenland","given":"Sander","non-dropping-particle":"","parse-names":false,"suffix":""},{"dropping-particle":"","family":"Morgenstern","given":"Hal","non-dropping-particle":"","parse-names":false,"suffix":""}],"container-title":"Annual Review of Public Health","id":"ITEM-1","issue":"1","issued":{"date-parts":[["2001","5","28"]]},"page":"189-212","publisher":"Annual Reviews","title":"Confounding in Health Research","type":"article-journal","volume":"22"},"uris":["http://www.mendeley.com/documents/?uuid=99d8e720-1194-3299-bd5b-0e7488fb5c48"]}],"mendeley":{"formattedCitation":"[7]","plainTextFormattedCitation":"[7]","previouslyFormattedCitation":"[7]"},"properties":{"noteIndex":0},"schema":"https://github.com/citation-style-language/schema/raw/master/csl-citation.json"}</w:instrText>
      </w:r>
      <w:r w:rsidRPr="00270D01">
        <w:rPr>
          <w:sz w:val="20"/>
          <w:szCs w:val="20"/>
        </w:rPr>
        <w:fldChar w:fldCharType="separate"/>
      </w:r>
      <w:r w:rsidRPr="00270D01">
        <w:rPr>
          <w:noProof/>
          <w:sz w:val="20"/>
          <w:szCs w:val="20"/>
        </w:rPr>
        <w:t>[7]</w:t>
      </w:r>
      <w:r w:rsidRPr="00270D01">
        <w:rPr>
          <w:sz w:val="20"/>
          <w:szCs w:val="20"/>
        </w:rPr>
        <w:fldChar w:fldCharType="end"/>
      </w:r>
      <w:r w:rsidRPr="009F6583">
        <w:rPr>
          <w:sz w:val="20"/>
          <w:szCs w:val="20"/>
        </w:rPr>
        <w:t xml:space="preserve"> Propensity score matching (PSM) is a popular statistical approach for observational data that attempts to estimate the causal effect of a treatment variable with respect to an outcome, taking into account possible confounding bias from other pre-treatment characteristics</w:t>
      </w:r>
      <w:r w:rsidRPr="00270D01">
        <w:rPr>
          <w:sz w:val="20"/>
          <w:szCs w:val="20"/>
        </w:rPr>
        <w:t>.</w:t>
      </w:r>
      <w:r w:rsidRPr="00270D01">
        <w:rPr>
          <w:sz w:val="20"/>
          <w:szCs w:val="20"/>
        </w:rPr>
        <w:fldChar w:fldCharType="begin" w:fldLock="1"/>
      </w:r>
      <w:r w:rsidR="00A9720E">
        <w:rPr>
          <w:sz w:val="20"/>
          <w:szCs w:val="20"/>
        </w:rPr>
        <w:instrText>ADDIN CSL_CITATION {"citationItems":[{"id":"ITEM-1","itemData":{"abstract":"The propensity score is the conditional probability of assignment to a particular treatment given a vector of observed covariates. Both large and small sample theory show that adjustment for the scalar propensity score is sufficient to remove bias due to all observed covariates. Applications include: (i) matched sampling on the univariate propensity score, which is a generalization of discriminant matching, (ii) multivariate adjustment by subclassification on the propensity score where the same subclasses are used to estimate treatment effects for all outcome variables and in all subpopulations, and (iii) visual representation of multivariate covariance adjustment by a two-dimensional plot.","author":[{"dropping-particle":"","family":"Rosenbaum","given":"Paul R","non-dropping-particle":"","parse-names":false,"suffix":""},{"dropping-particle":"","family":"Rubin","given":"Donald B","non-dropping-particle":"","parse-names":false,"suffix":""}],"id":"ITEM-1","issue":"1","issued":{"date-parts":[["1083"]]},"number-of-pages":"41-55","title":"The central role of the propensity score in observational studies for causal effects","type":"report","volume":"70"},"uris":["http://www.mendeley.com/documents/?uuid=9ce5ba8e-0925-3fe4-82a4-6830be9331d7"]},{"id":"ITEM-2","itemData":{"DOI":"10.2307/2288398","ISSN":"01621459","abstract":"The propensity score is the conditional probability of assignment to a particular treatment given a vector of observed covariates. Previous theoretical arguments have shown that subclassification on the propensity score will balance all observed covariates. Subclassification on an estimated propensity score is illustrated, using observational data on treatments for coronary artery disease. Five subclasses defined by the estimated propensity score are constructed that balance 74 covariates, and thereby provide estimates of treatment effects using direct adjustment. These subclasses are applied within subpopulations, and model-based adjustments are then used to provide estimates of treatment effects within these subpopulations. Two appendixes address theoretical issues related to the application: the effectiveness of subclassification on the propensity score in removing bias, and balancing properties of propensity scores with incomplete data.","author":[{"dropping-particle":"","family":"Rosenbaum","given":"Paul R.","non-dropping-particle":"","parse-names":false,"suffix":""},{"dropping-particle":"","family":"Rubin","given":"Donald B.","non-dropping-particle":"","parse-names":false,"suffix":""}],"container-title":"Journal of the American Statistical Association","id":"ITEM-2","issue":"387","issued":{"date-parts":[["1984","9"]]},"page":"516","publisher":"JSTOR","title":"Reducing Bias in Observational Studies Using Subclassification on the Propensity Score","type":"article-journal","volume":"79"},"uris":["http://www.mendeley.com/documents/?uuid=f363343a-1bb7-34a1-a0d3-933327efa8a6"]}],"mendeley":{"formattedCitation":"[4,8]","plainTextFormattedCitation":"[4,8]","previouslyFormattedCitation":"[4,8]"},"properties":{"noteIndex":0},"schema":"https://github.com/citation-style-language/schema/raw/master/csl-citation.json"}</w:instrText>
      </w:r>
      <w:r w:rsidRPr="00270D01">
        <w:rPr>
          <w:sz w:val="20"/>
          <w:szCs w:val="20"/>
        </w:rPr>
        <w:fldChar w:fldCharType="separate"/>
      </w:r>
      <w:r w:rsidRPr="00270D01">
        <w:rPr>
          <w:noProof/>
          <w:sz w:val="20"/>
          <w:szCs w:val="20"/>
        </w:rPr>
        <w:t>[4,8]</w:t>
      </w:r>
      <w:r w:rsidRPr="00270D01">
        <w:rPr>
          <w:sz w:val="20"/>
          <w:szCs w:val="20"/>
        </w:rPr>
        <w:fldChar w:fldCharType="end"/>
      </w:r>
      <w:r w:rsidR="00FF3BF9" w:rsidRPr="00270D01">
        <w:rPr>
          <w:sz w:val="20"/>
          <w:szCs w:val="20"/>
        </w:rPr>
        <w:t xml:space="preserve"> </w:t>
      </w:r>
      <w:r w:rsidRPr="009F6583">
        <w:rPr>
          <w:sz w:val="20"/>
          <w:szCs w:val="20"/>
        </w:rPr>
        <w:t xml:space="preserve">The propensity score is a scalar estimate </w:t>
      </w:r>
      <m:oMath>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x</m:t>
            </m:r>
          </m:e>
        </m:d>
      </m:oMath>
      <w:r w:rsidRPr="009F6583">
        <w:rPr>
          <w:sz w:val="20"/>
          <w:szCs w:val="20"/>
        </w:rPr>
        <w:t xml:space="preserve"> representing the conditional probability of receiving a certain treatment </w:t>
      </w:r>
      <m:oMath>
        <m:r>
          <w:rPr>
            <w:rFonts w:ascii="Cambria Math" w:hAnsi="Cambria Math"/>
            <w:sz w:val="20"/>
            <w:szCs w:val="20"/>
          </w:rPr>
          <m:t>T = 1</m:t>
        </m:r>
      </m:oMath>
      <w:r w:rsidRPr="009F6583">
        <w:rPr>
          <w:sz w:val="20"/>
          <w:szCs w:val="20"/>
        </w:rPr>
        <w:t xml:space="preserve">, versus the control group or no treatment </w:t>
      </w:r>
      <m:oMath>
        <m:r>
          <w:rPr>
            <w:rFonts w:ascii="Cambria Math" w:hAnsi="Cambria Math"/>
            <w:sz w:val="20"/>
            <w:szCs w:val="20"/>
          </w:rPr>
          <m:t>T = 0</m:t>
        </m:r>
      </m:oMath>
      <w:r w:rsidRPr="009F6583">
        <w:rPr>
          <w:sz w:val="20"/>
          <w:szCs w:val="20"/>
        </w:rPr>
        <w:t>,</w:t>
      </w:r>
      <w:r w:rsidR="008B31BA">
        <w:rPr>
          <w:sz w:val="20"/>
          <w:szCs w:val="20"/>
        </w:rPr>
        <w:t xml:space="preserve"> </w:t>
      </w:r>
      <w:r w:rsidR="009E2E19" w:rsidRPr="009E2E19">
        <w:rPr>
          <w:sz w:val="20"/>
          <w:szCs w:val="20"/>
        </w:rPr>
        <w:t xml:space="preserve">given a set of measured pre-treatment covariates </w:t>
      </w:r>
      <m:oMath>
        <m:r>
          <m:rPr>
            <m:sty m:val="bi"/>
          </m:rPr>
          <w:rPr>
            <w:rFonts w:ascii="Cambria Math" w:hAnsi="Cambria Math"/>
            <w:sz w:val="20"/>
            <w:szCs w:val="20"/>
          </w:rPr>
          <m:t>X</m:t>
        </m:r>
        <m:r>
          <w:rPr>
            <w:rFonts w:ascii="Cambria Math" w:hAnsi="Cambria Math"/>
            <w:sz w:val="20"/>
            <w:szCs w:val="20"/>
          </w:rPr>
          <m:t>,</m:t>
        </m:r>
      </m:oMath>
      <w:r w:rsidR="009E2E19" w:rsidRPr="009E2E19">
        <w:rPr>
          <w:sz w:val="20"/>
          <w:szCs w:val="20"/>
        </w:rPr>
        <w:t xml:space="preserve"> denoted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8E374E" w14:paraId="06A356DB" w14:textId="77777777" w:rsidTr="00A9720E">
        <w:trPr>
          <w:trHeight w:val="594"/>
        </w:trPr>
        <w:tc>
          <w:tcPr>
            <w:tcW w:w="1075" w:type="dxa"/>
          </w:tcPr>
          <w:p w14:paraId="75482E65" w14:textId="6056DF5B" w:rsidR="008E374E" w:rsidRDefault="008E374E" w:rsidP="00114B88">
            <w:pPr>
              <w:spacing w:line="480" w:lineRule="auto"/>
              <w:jc w:val="center"/>
              <w:rPr>
                <w:sz w:val="20"/>
                <w:szCs w:val="20"/>
              </w:rPr>
            </w:pPr>
          </w:p>
        </w:tc>
        <w:tc>
          <w:tcPr>
            <w:tcW w:w="7110" w:type="dxa"/>
          </w:tcPr>
          <w:p w14:paraId="1D8939FA" w14:textId="77777777" w:rsidR="00114B88" w:rsidRPr="008B31BA" w:rsidRDefault="00114B88" w:rsidP="00114B88">
            <w:pPr>
              <w:spacing w:line="480" w:lineRule="auto"/>
              <w:jc w:val="center"/>
              <w:rPr>
                <w:sz w:val="20"/>
                <w:szCs w:val="20"/>
              </w:rPr>
            </w:pPr>
            <m:oMathPara>
              <m:oMath>
                <m:r>
                  <w:rPr>
                    <w:rFonts w:ascii="Cambria Math" w:hAnsi="Cambria Math"/>
                    <w:sz w:val="20"/>
                    <w:szCs w:val="20"/>
                  </w:rPr>
                  <m:t>π</m:t>
                </m:r>
                <m:d>
                  <m:dPr>
                    <m:ctrlPr>
                      <w:rPr>
                        <w:rFonts w:ascii="Cambria Math" w:hAnsi="Cambria Math"/>
                        <w:i/>
                        <w:sz w:val="20"/>
                        <w:szCs w:val="20"/>
                      </w:rPr>
                    </m:ctrlPr>
                  </m:dPr>
                  <m:e>
                    <m:r>
                      <m:rPr>
                        <m:sty m:val="bi"/>
                      </m:rPr>
                      <w:rPr>
                        <w:rFonts w:ascii="Cambria Math" w:hAnsi="Cambria Math"/>
                        <w:sz w:val="20"/>
                        <w:szCs w:val="20"/>
                      </w:rPr>
                      <m:t>x</m:t>
                    </m:r>
                  </m:e>
                </m:d>
                <m:r>
                  <w:rPr>
                    <w:rFonts w:ascii="Cambria Math" w:hAnsi="Cambria Math"/>
                    <w:sz w:val="20"/>
                    <w:szCs w:val="20"/>
                  </w:rPr>
                  <m:t> = </m:t>
                </m:r>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rPr>
                      <m:t> = 1</m:t>
                    </m:r>
                  </m:e>
                  <m:e>
                    <m:r>
                      <m:rPr>
                        <m:sty m:val="bi"/>
                      </m:rPr>
                      <w:rPr>
                        <w:rFonts w:ascii="Cambria Math" w:hAnsi="Cambria Math"/>
                        <w:sz w:val="20"/>
                        <w:szCs w:val="20"/>
                      </w:rPr>
                      <m:t>X</m:t>
                    </m:r>
                    <m:r>
                      <w:rPr>
                        <w:rFonts w:ascii="Cambria Math" w:hAnsi="Cambria Math"/>
                        <w:sz w:val="20"/>
                        <w:szCs w:val="20"/>
                      </w:rPr>
                      <m:t> = </m:t>
                    </m:r>
                    <m:r>
                      <m:rPr>
                        <m:sty m:val="bi"/>
                      </m:rPr>
                      <w:rPr>
                        <w:rFonts w:ascii="Cambria Math" w:hAnsi="Cambria Math"/>
                        <w:sz w:val="20"/>
                        <w:szCs w:val="20"/>
                      </w:rPr>
                      <m:t>x</m:t>
                    </m:r>
                  </m:e>
                </m:d>
                <m:r>
                  <w:rPr>
                    <w:rFonts w:ascii="Cambria Math" w:hAnsi="Cambria Math"/>
                    <w:sz w:val="20"/>
                    <w:szCs w:val="20"/>
                  </w:rPr>
                  <m:t>,</m:t>
                </m:r>
              </m:oMath>
            </m:oMathPara>
          </w:p>
          <w:p w14:paraId="6D28DED0" w14:textId="77777777" w:rsidR="008E374E" w:rsidRDefault="008E374E" w:rsidP="00114B88">
            <w:pPr>
              <w:spacing w:line="480" w:lineRule="auto"/>
              <w:jc w:val="center"/>
              <w:rPr>
                <w:sz w:val="20"/>
                <w:szCs w:val="20"/>
              </w:rPr>
            </w:pPr>
          </w:p>
        </w:tc>
        <w:tc>
          <w:tcPr>
            <w:tcW w:w="1165" w:type="dxa"/>
          </w:tcPr>
          <w:p w14:paraId="53F8B0CC" w14:textId="6FF92D93" w:rsidR="008E374E" w:rsidRDefault="008E374E" w:rsidP="00114B88">
            <w:pPr>
              <w:spacing w:line="480" w:lineRule="auto"/>
              <w:jc w:val="center"/>
              <w:rPr>
                <w:sz w:val="20"/>
                <w:szCs w:val="20"/>
              </w:rPr>
            </w:pPr>
            <w:r>
              <w:rPr>
                <w:sz w:val="20"/>
                <w:szCs w:val="20"/>
              </w:rPr>
              <w:t>(</w:t>
            </w:r>
            <w:bookmarkStart w:id="0" w:name="equation1"/>
            <w:r w:rsidR="00503B32">
              <w:rPr>
                <w:sz w:val="20"/>
                <w:szCs w:val="20"/>
              </w:rPr>
              <w:fldChar w:fldCharType="begin"/>
            </w:r>
            <w:r w:rsidR="00503B32">
              <w:rPr>
                <w:sz w:val="20"/>
                <w:szCs w:val="20"/>
              </w:rPr>
              <w:instrText xml:space="preserve"> SEQ Eq \* MERGEFORMAT </w:instrText>
            </w:r>
            <w:r w:rsidR="00503B32">
              <w:rPr>
                <w:sz w:val="20"/>
                <w:szCs w:val="20"/>
              </w:rPr>
              <w:fldChar w:fldCharType="separate"/>
            </w:r>
            <w:r w:rsidR="00503B32">
              <w:rPr>
                <w:noProof/>
                <w:sz w:val="20"/>
                <w:szCs w:val="20"/>
              </w:rPr>
              <w:t>1</w:t>
            </w:r>
            <w:r w:rsidR="00503B32">
              <w:rPr>
                <w:sz w:val="20"/>
                <w:szCs w:val="20"/>
              </w:rPr>
              <w:fldChar w:fldCharType="end"/>
            </w:r>
            <w:bookmarkEnd w:id="0"/>
            <w:r>
              <w:rPr>
                <w:sz w:val="20"/>
                <w:szCs w:val="20"/>
              </w:rPr>
              <w:t>)</w:t>
            </w:r>
          </w:p>
        </w:tc>
      </w:tr>
    </w:tbl>
    <w:p w14:paraId="52F49587" w14:textId="03079A62" w:rsidR="00374E24" w:rsidRDefault="00374E24" w:rsidP="00A9720E">
      <w:pPr>
        <w:spacing w:line="480" w:lineRule="auto"/>
        <w:rPr>
          <w:sz w:val="20"/>
          <w:szCs w:val="20"/>
        </w:rPr>
      </w:pPr>
      <w:r w:rsidRPr="00374E24">
        <w:rPr>
          <w:sz w:val="20"/>
          <w:szCs w:val="20"/>
        </w:rPr>
        <w:lastRenderedPageBreak/>
        <w:t>Hence, PSM balances the pre-treatment potential confounders by achieving a quasi-randomization of the different treatment group assignments, allowing a better estimation of the treatment effect. However, traditional PSM approach accounts only for measured (and measurable) covariates, and latent bias may remain after matching</w:t>
      </w:r>
      <w:r w:rsidR="00A9720E" w:rsidRPr="00A9720E">
        <w:rPr>
          <w:sz w:val="20"/>
          <w:szCs w:val="20"/>
        </w:rPr>
        <w:t>.</w:t>
      </w:r>
      <w:r w:rsidR="00A9720E" w:rsidRPr="00A9720E">
        <w:rPr>
          <w:sz w:val="20"/>
          <w:szCs w:val="20"/>
        </w:rPr>
        <w:fldChar w:fldCharType="begin" w:fldLock="1"/>
      </w:r>
      <w:r w:rsidR="004A2D42">
        <w:rPr>
          <w:sz w:val="20"/>
          <w:szCs w:val="20"/>
        </w:rPr>
        <w:instrText>ADDIN CSL_CITATION {"citationItems":[{"id":"ITEM-1","itemData":{"DOI":"10.1111/1475-6773.12182","abstract":"Objectives. To model the steps involved in preparing for and carrying out propensity score analyses by providing step-by-step guidance and Stata code applied to an empirical dataset. Study Design. Guidance, Stata code, and empirical examples are given to illustrate (1) the process of choosing variables to include in the propensity score; (2) balance of propensity score across treatment and comparison groups; (3) balance of covariates across treatment and comparison groups within blocks of the propensity score; (4) choice of matching and weighting strategies; (5) balance of covariates after matching or weighting the sample; and (6) interpretation of treatment effect estimates. Empirical Application. We use data from the Palliative Care for Cancer Patients (PC4C) study, a multisite observational study of the effect of inpatient palliative care on patient health outcomes and health services use, to illustrate the development and use of a propensity score. Conclusions. Propensity scores are one useful tool for accounting for observed differences between treated and comparison groups. Careful testing of propensity scores is required before using them to estimate treatment effects.","author":[{"dropping-particle":"","family":"Garrido","given":"Melissa M","non-dropping-particle":"","parse-names":false,"suffix":""},{"dropping-particle":"","family":"Kelley","given":"Amy S","non-dropping-particle":"","parse-names":false,"suffix":""},{"dropping-particle":"","family":"Paris","given":"Julia","non-dropping-particle":"","parse-names":false,"suffix":""},{"dropping-particle":"","family":"Roza","given":"Katherine","non-dropping-particle":"","parse-names":false,"suffix":""},{"dropping-particle":"","family":"Meier","given":"Diane E","non-dropping-particle":"","parse-names":false,"suffix":""},{"dropping-particle":"","family":"Morrison","given":"R Sean","non-dropping-particle":"","parse-names":false,"suffix":""},{"dropping-particle":"","family":"Aldridge","given":"Melissa D","non-dropping-particle":"","parse-names":false,"suffix":""}],"id":"ITEM-1","issued":{"date-parts":[["0"]]},"title":"Methods for Constructing and Assessing Propensity Scores","type":"article-journal"},"uris":["http://www.mendeley.com/documents/?uuid=003b5c51-8c23-351d-ad3f-aac1b4a6f480"]}],"mendeley":{"formattedCitation":"[9]","plainTextFormattedCitation":"[9]","previouslyFormattedCitation":"[9]"},"properties":{"noteIndex":0},"schema":"https://github.com/citation-style-language/schema/raw/master/csl-citation.json"}</w:instrText>
      </w:r>
      <w:r w:rsidR="00A9720E" w:rsidRPr="00A9720E">
        <w:rPr>
          <w:sz w:val="20"/>
          <w:szCs w:val="20"/>
        </w:rPr>
        <w:fldChar w:fldCharType="separate"/>
      </w:r>
      <w:r w:rsidR="00A9720E" w:rsidRPr="00A9720E">
        <w:rPr>
          <w:noProof/>
          <w:sz w:val="20"/>
          <w:szCs w:val="20"/>
        </w:rPr>
        <w:t>[9]</w:t>
      </w:r>
      <w:r w:rsidR="00A9720E" w:rsidRPr="00A9720E">
        <w:rPr>
          <w:sz w:val="20"/>
          <w:szCs w:val="20"/>
        </w:rPr>
        <w:fldChar w:fldCharType="end"/>
      </w:r>
    </w:p>
    <w:p w14:paraId="3CB5731E" w14:textId="1721EBF6" w:rsidR="00607AAD" w:rsidRDefault="00607AAD" w:rsidP="001B463A">
      <w:pPr>
        <w:spacing w:line="480" w:lineRule="auto"/>
        <w:ind w:firstLine="720"/>
        <w:rPr>
          <w:sz w:val="20"/>
          <w:szCs w:val="20"/>
        </w:rPr>
      </w:pPr>
      <w:r w:rsidRPr="00607AAD">
        <w:rPr>
          <w:sz w:val="20"/>
          <w:szCs w:val="20"/>
        </w:rPr>
        <w:t>PSM has been implemented historically through logistic regression, which calculates the probability of treatment assignment given the pre-treatment covariates</w:t>
      </w:r>
      <w:r w:rsidR="004A2D42">
        <w:rPr>
          <w:sz w:val="20"/>
          <w:szCs w:val="20"/>
        </w:rPr>
        <w:t>.</w:t>
      </w:r>
      <w:r w:rsidR="004A2D42">
        <w:rPr>
          <w:sz w:val="20"/>
          <w:szCs w:val="20"/>
        </w:rPr>
        <w:fldChar w:fldCharType="begin" w:fldLock="1"/>
      </w:r>
      <w:r w:rsidR="006F4601">
        <w:rPr>
          <w:sz w:val="20"/>
          <w:szCs w:val="20"/>
        </w:rPr>
        <w:instrText>ADDIN CSL_CITATION {"citationItems":[{"id":"ITEM-1","itemData":{"DOI":"10.1093/aje/kwj047","ISSN":"00029262","PMID":"16371515","abstract":"Observational studies often provide the only available information about treatment effects. Control of confounding, however, remains challenging. The authors compared five methods for evaluating the effect of tissue plasminogen activator on death among 6,269 ischemic stroke patients registered in a German stroke registry: multivariable logistic regression, propensity score-matched analysis, regression adjustment with the propensity score, and two propensity score-based weighted methods - one estimating the treatment effect in the entire study population (inverse-probability-of-treatment weights), another in the treated population (standardized-mortality-ratio weights). Between 2000 and 2001, 212 patients received tissue plasminogen activator. The crude odds ratio between tissue plasminogen activator and death was 3.35 (95% confidence interval: 2.28, 4.91). The adjusted odds ratio depended strongly on the adjustment method, ranging from 1.11 (95% confidence interval: 0.67, 1.84) for the standardized-mortality-ratio weighted to 10.77 (95% confidence interval: 2.47, 47.04) for the inverse-probability-of-treatment-weighted analysis. Fortreated patients with a low propensity score, risks of dying were high. Exclusion of patients with a propensity score of &lt;5% yielded comparable odds ratios of approximately 1 for all methods. High levels of nonuniform treatment effect render summary estimates very sensitive to the weighting system explicit or implicit in an adjustment technique. Researchers need to be clear about the population for which an overall treatment estimate is most suitable. Copyright © 2005 by the Johns Hopkins Bloomberg School of Public Health. All rights reserved.","author":[{"dropping-particle":"","family":"Kurth","given":"Tobias","non-dropping-particle":"","parse-names":false,"suffix":""},{"dropping-particle":"","family":"Walker","given":"Alexander M.","non-dropping-particle":"","parse-names":false,"suffix":""},{"dropping-particle":"","family":"Glynn","given":"Robert J.","non-dropping-particle":"","parse-names":false,"suffix":""},{"dropping-particle":"","family":"Chan","given":"K. Arnold","non-dropping-particle":"","parse-names":false,"suffix":""},{"dropping-particle":"","family":"Gaziano","given":"J. Michael","non-dropping-particle":"","parse-names":false,"suffix":""},{"dropping-particle":"","family":"Berger","given":"Klaus","non-dropping-particle":"","parse-names":false,"suffix":""},{"dropping-particle":"","family":"Robins","given":"James M.","non-dropping-particle":"","parse-names":false,"suffix":""}],"container-title":"American Journal of Epidemiology","id":"ITEM-1","issued":{"date-parts":[["2006"]]},"title":"Results of multivariable logistic regression, propensity matching, propensity adjustment, and propensity-based weighting under conditions of nonuniform effect","type":"article-journal"},"uris":["http://www.mendeley.com/documents/?uuid=29bdda6d-8fe9-4a77-944e-a417e0443712"]}],"mendeley":{"formattedCitation":"[10]","plainTextFormattedCitation":"[10]","previouslyFormattedCitation":"[10]"},"properties":{"noteIndex":0},"schema":"https://github.com/citation-style-language/schema/raw/master/csl-citation.json"}</w:instrText>
      </w:r>
      <w:r w:rsidR="004A2D42">
        <w:rPr>
          <w:sz w:val="20"/>
          <w:szCs w:val="20"/>
        </w:rPr>
        <w:fldChar w:fldCharType="separate"/>
      </w:r>
      <w:r w:rsidR="004A2D42" w:rsidRPr="004A2D42">
        <w:rPr>
          <w:noProof/>
          <w:sz w:val="20"/>
          <w:szCs w:val="20"/>
        </w:rPr>
        <w:t>[10]</w:t>
      </w:r>
      <w:r w:rsidR="004A2D42">
        <w:rPr>
          <w:sz w:val="20"/>
          <w:szCs w:val="20"/>
        </w:rPr>
        <w:fldChar w:fldCharType="end"/>
      </w:r>
      <w:r w:rsidRPr="00607AAD">
        <w:rPr>
          <w:sz w:val="20"/>
          <w:szCs w:val="20"/>
        </w:rPr>
        <w:t xml:space="preserve"> In presence of high-dimensional datasets, e.g., compiled from large electronic health record (EHR) databases</w:t>
      </w:r>
      <w:r w:rsidR="006F4601">
        <w:rPr>
          <w:sz w:val="20"/>
          <w:szCs w:val="20"/>
        </w:rPr>
        <w:t>,</w:t>
      </w:r>
      <w:r w:rsidR="006F4601">
        <w:rPr>
          <w:sz w:val="20"/>
          <w:szCs w:val="20"/>
        </w:rPr>
        <w:fldChar w:fldCharType="begin" w:fldLock="1"/>
      </w:r>
      <w:r w:rsidR="000946C5">
        <w:rPr>
          <w:sz w:val="20"/>
          <w:szCs w:val="20"/>
        </w:rPr>
        <w:instrText>ADDIN CSL_CITATION {"citationItems":[{"id":"ITEM-1","itemData":{"DOI":"10.1186/s12911-018-0719-2","abstract":"Background: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 Main body: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 Conclusions: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implementation.","author":[{"dropping-particle":"","family":"Prosperi","given":"Mattia","non-dropping-particle":"","parse-names":false,"suffix":""},{"dropping-particle":"","family":"Min","given":"Jae S","non-dropping-particle":"","parse-names":false,"suffix":""},{"dropping-particle":"","family":"Bian","given":"Jiang","non-dropping-particle":"","parse-names":false,"suffix":""},{"dropping-particle":"","family":"Modave","given":"François","non-dropping-particle":"","parse-names":false,"suffix":""}],"id":"ITEM-1","issued":{"date-parts":[["0"]]},"title":"Big data hurdles in precision medicine and precision public health","type":"article-journal"},"uris":["http://www.mendeley.com/documents/?uuid=71531c8f-356d-347b-b95a-6cc121f2cdfa"]}],"mendeley":{"formattedCitation":"[11]","plainTextFormattedCitation":"[11]","previouslyFormattedCitation":"[11]"},"properties":{"noteIndex":0},"schema":"https://github.com/citation-style-language/schema/raw/master/csl-citation.json"}</w:instrText>
      </w:r>
      <w:r w:rsidR="006F4601">
        <w:rPr>
          <w:sz w:val="20"/>
          <w:szCs w:val="20"/>
        </w:rPr>
        <w:fldChar w:fldCharType="separate"/>
      </w:r>
      <w:r w:rsidR="006F4601" w:rsidRPr="006F4601">
        <w:rPr>
          <w:noProof/>
          <w:sz w:val="20"/>
          <w:szCs w:val="20"/>
        </w:rPr>
        <w:t>[11]</w:t>
      </w:r>
      <w:r w:rsidR="006F4601">
        <w:rPr>
          <w:sz w:val="20"/>
          <w:szCs w:val="20"/>
        </w:rPr>
        <w:fldChar w:fldCharType="end"/>
      </w:r>
      <w:r w:rsidRPr="00607AAD">
        <w:rPr>
          <w:sz w:val="20"/>
          <w:szCs w:val="20"/>
        </w:rPr>
        <w:t xml:space="preserve"> different feature selection methods within PSM have been employed, such as the high-dimensional propensity score (</w:t>
      </w:r>
      <w:proofErr w:type="spellStart"/>
      <w:r w:rsidRPr="00607AAD">
        <w:rPr>
          <w:sz w:val="20"/>
          <w:szCs w:val="20"/>
        </w:rPr>
        <w:t>hdPS</w:t>
      </w:r>
      <w:proofErr w:type="spellEnd"/>
      <w:r w:rsidR="000946C5">
        <w:rPr>
          <w:sz w:val="20"/>
          <w:szCs w:val="20"/>
        </w:rPr>
        <w:t>)</w:t>
      </w:r>
      <w:r w:rsidR="000946C5">
        <w:rPr>
          <w:sz w:val="20"/>
          <w:szCs w:val="20"/>
        </w:rPr>
        <w:fldChar w:fldCharType="begin" w:fldLock="1"/>
      </w:r>
      <w:r w:rsidR="009E3FDC">
        <w:rPr>
          <w:sz w:val="20"/>
          <w:szCs w:val="20"/>
        </w:rPr>
        <w:instrText>ADDIN CSL_CITATION {"citationItems":[{"id":"ITEM-1","itemData":{"DOI":"10.1097/EDE.0b013e3181a663cc","ISSN":"10443983","PMID":"19487948","abstract":"Background: Adjusting for large numbers of covariates ascertained from patients' health care claims data may improve control of confounding, as these variables may collectively be proxies for unobserved factors. Here, we develop and test an algorithm that empirically identifies candidate covariates, prioritizes covariates, and integrates them into a propensity-score-based confounder adjustment model.Methods: We developed a multistep algorithm to implement high-dimensional proxy adjustment in claims data. Steps include (1) identifying data dimensions, eg, diagnoses, procedures, and medications; (2) empirically identifying candidate covariates; (3) assessing recurrence of codes; (4) prioritizing covariates; (5) selecting covariates for adjustment; (6) estimating the exposure propensity score; and (7) estimating an outcome model. This algorithm was tested in Medicare claims data, including a study on the effect of cox-2 inhibitors on reduced gastric toxicity compared with nonse-lective nonsteroidal anti-inflammatory drugs (NSAIDs). Results: In a population of 49,653 new users of Cox-2 inhibitors or nonselective NSAIDs, a crude relative risk (RR) for upper GI toxicity (RR = 1.09 [95% confidence interval = 0.91-1.30]) was initially observed. Adjusting for 15 predefined covariates resulted in a possible gastroprotective effect (0.94 [0.78-1.12]). A gastropro-tective effect became stronger when adjusting for an additional 500 algorithm-derived covariates (0.88 [0.73-1.06]). Results of a study on the effect of statin on reduced mortality were similar. Using the algorithm adjustment confirmed a null finding between influenza vaccination and hip fracture (1.02 [0.85-1.21]). Conclusions: In typical pharmacoepidemiologic studies, the proposed high-dimensional propensity score resulted in improved effect estimates compared with adjustment limited to predefined covari-© 2009 by Lippincott.","author":[{"dropping-particle":"","family":"Schneeweiss","given":"Sebastian","non-dropping-particle":"","parse-names":false,"suffix":""},{"dropping-particle":"","family":"Rassen","given":"Jeremy A.","non-dropping-particle":"","parse-names":false,"suffix":""},{"dropping-particle":"","family":"Glynn","given":"Robert J.","non-dropping-particle":"","parse-names":false,"suffix":""},{"dropping-particle":"","family":"Avorn","given":"Jerry","non-dropping-particle":"","parse-names":false,"suffix":""},{"dropping-particle":"","family":"Mogun","given":"Helen","non-dropping-particle":"","parse-names":false,"suffix":""},{"dropping-particle":"","family":"Brookhart","given":"M. Alan","non-dropping-particle":"","parse-names":false,"suffix":""}],"container-title":"Epidemiology","id":"ITEM-1","issued":{"date-parts":[["2009"]]},"title":"High-dimensional propensity score adjustment in studies of treatment effects using health care claims data","type":"article-journal"},"uris":["http://www.mendeley.com/documents/?uuid=170997ff-77dd-494a-baed-ed9842e401f1"]}],"mendeley":{"formattedCitation":"[12]","plainTextFormattedCitation":"[12]","previouslyFormattedCitation":"[12]"},"properties":{"noteIndex":0},"schema":"https://github.com/citation-style-language/schema/raw/master/csl-citation.json"}</w:instrText>
      </w:r>
      <w:r w:rsidR="000946C5">
        <w:rPr>
          <w:sz w:val="20"/>
          <w:szCs w:val="20"/>
        </w:rPr>
        <w:fldChar w:fldCharType="separate"/>
      </w:r>
      <w:r w:rsidR="000946C5" w:rsidRPr="000946C5">
        <w:rPr>
          <w:noProof/>
          <w:sz w:val="20"/>
          <w:szCs w:val="20"/>
        </w:rPr>
        <w:t>[12]</w:t>
      </w:r>
      <w:r w:rsidR="000946C5">
        <w:rPr>
          <w:sz w:val="20"/>
          <w:szCs w:val="20"/>
        </w:rPr>
        <w:fldChar w:fldCharType="end"/>
      </w:r>
      <w:r w:rsidR="000946C5">
        <w:rPr>
          <w:sz w:val="20"/>
          <w:szCs w:val="20"/>
        </w:rPr>
        <w:t xml:space="preserve"> </w:t>
      </w:r>
      <w:r w:rsidRPr="00607AAD">
        <w:rPr>
          <w:sz w:val="20"/>
          <w:szCs w:val="20"/>
        </w:rPr>
        <w:t>or L1-logistic regression.</w:t>
      </w:r>
      <w:r w:rsidR="009E3FDC">
        <w:rPr>
          <w:sz w:val="20"/>
          <w:szCs w:val="20"/>
        </w:rPr>
        <w:fldChar w:fldCharType="begin" w:fldLock="1"/>
      </w:r>
      <w:r w:rsidR="00DD3BB1">
        <w:rPr>
          <w:sz w:val="20"/>
          <w:szCs w:val="20"/>
        </w:rPr>
        <w:instrText>ADDIN CSL_CITATION {"citationItems":[{"id":"ITEM-1","itemData":{"DOI":"10.1093/ije/dyy120","ISSN":"14643685","PMID":"29939268","abstract":"Background: Propensity score adjustment is a popular approach for confounding control in observational studies. Reliable frameworks are needed to determine relative propensity score performance in large-scale studies, and to establish optimal propensity score model selection methods. Methods: We detail a propensity score evaluation framework that includes synthetic and real-world data experiments. Our synthetic experimental design extends the ‘plasmode’ framework and simulates survival data under known effect sizes, and our real-world experiments use a set of negative control outcomes with presumed null effect sizes. In reproductions of two published cohort studies, we compare two propensity score estimation methods that contrast in their model selection approach: L 1 -regularized regression that conducts a penalized likelihood regression, and the ‘high-dimensional propensity score’ (hdPS) that employs a univariate covariate screen. We evaluate methods on a range of outcome-dependent and outcome-independent metrics. Results: L 1 -regularization propensity score methods achieve superior model fit, covariate balance and negative control bias reduction compared with the hdPS. Simulation results are mixed and fluctuate with simulation parameters, revealing a limitation of simulation under the proportional hazards framework. Including regularization with the hdPS reduces commonly reported non-convergence issues but has little effect on propensity score performance. Conclusions: L 1 -regularization incorporates all covariates simultaneously into the propensity score model and offers propensity score performance superior to the hdPS marginal screen.","author":[{"dropping-particle":"","family":"Tian","given":"Yuxi","non-dropping-particle":"","parse-names":false,"suffix":""},{"dropping-particle":"","family":"Schuemie","given":"Martijn J.","non-dropping-particle":"","parse-names":false,"suffix":""},{"dropping-particle":"","family":"Suchard","given":"Marc A.","non-dropping-particle":"","parse-names":false,"suffix":""}],"container-title":"International Journal of Epidemiology","id":"ITEM-1","issue":"6","issued":{"date-parts":[["2018"]]},"page":"2005-2014","title":"Evaluating large-scale propensity score performance through real-world and synthetic data experiments","type":"article-journal","volume":"47"},"uris":["http://www.mendeley.com/documents/?uuid=416ef37a-9ef2-41cc-8fb0-32ca737d8fe0"]}],"mendeley":{"formattedCitation":"[13]","plainTextFormattedCitation":"[13]","previouslyFormattedCitation":"[13]"},"properties":{"noteIndex":0},"schema":"https://github.com/citation-style-language/schema/raw/master/csl-citation.json"}</w:instrText>
      </w:r>
      <w:r w:rsidR="009E3FDC">
        <w:rPr>
          <w:sz w:val="20"/>
          <w:szCs w:val="20"/>
        </w:rPr>
        <w:fldChar w:fldCharType="separate"/>
      </w:r>
      <w:r w:rsidR="009E3FDC" w:rsidRPr="009E3FDC">
        <w:rPr>
          <w:noProof/>
          <w:sz w:val="20"/>
          <w:szCs w:val="20"/>
        </w:rPr>
        <w:t>[13]</w:t>
      </w:r>
      <w:r w:rsidR="009E3FDC">
        <w:rPr>
          <w:sz w:val="20"/>
          <w:szCs w:val="20"/>
        </w:rPr>
        <w:fldChar w:fldCharType="end"/>
      </w:r>
      <w:r w:rsidRPr="00607AAD">
        <w:rPr>
          <w:sz w:val="20"/>
          <w:szCs w:val="20"/>
        </w:rPr>
        <w:t xml:space="preserve"> However, logistic regression is limited because it calculates a mere linear combination of input variables, thus it is not able to capture complex relationships between the pre-treatment covariates and the treatment assignment. This is particularly true in high-dimensional settings, where it is difficult to explicitly define variable-to-variable interactions, e.g. as higher-order terms in the logistic function, and computationally burdensome to scan all of them.</w:t>
      </w:r>
    </w:p>
    <w:p w14:paraId="0965A30A" w14:textId="07D3BF84" w:rsidR="00E60A2A" w:rsidRDefault="00E60A2A" w:rsidP="001B463A">
      <w:pPr>
        <w:spacing w:line="480" w:lineRule="auto"/>
        <w:ind w:firstLine="720"/>
        <w:rPr>
          <w:sz w:val="20"/>
          <w:szCs w:val="20"/>
        </w:rPr>
      </w:pPr>
      <w:r w:rsidRPr="00E60A2A">
        <w:rPr>
          <w:sz w:val="20"/>
          <w:szCs w:val="20"/>
        </w:rPr>
        <w:t>An artificial neural network is a universal approximator and can smooth polynomial functions regardless of the order of the polynomial or the number of interaction term</w:t>
      </w:r>
      <w:r w:rsidR="00DD3BB1">
        <w:rPr>
          <w:sz w:val="20"/>
          <w:szCs w:val="20"/>
        </w:rPr>
        <w:t>s</w:t>
      </w:r>
      <w:r w:rsidR="00577D86">
        <w:rPr>
          <w:sz w:val="20"/>
          <w:szCs w:val="20"/>
        </w:rPr>
        <w:t>.</w:t>
      </w:r>
      <w:r w:rsidR="00577D86">
        <w:rPr>
          <w:sz w:val="20"/>
          <w:szCs w:val="20"/>
        </w:rPr>
        <w:fldChar w:fldCharType="begin" w:fldLock="1"/>
      </w:r>
      <w:r w:rsidR="001114D1">
        <w:rPr>
          <w:sz w:val="20"/>
          <w:szCs w:val="20"/>
        </w:rPr>
        <w:instrText>ADDIN CSL_CITATION {"citationItems":[{"id":"ITEM-1","itemData":{"DOI":"10.1023/A:1022650905902","ISSN":"15730565","abstract":"For a common class of artificial neural networks, the mean integrated squared error between the estimated network and a target function f is shown to be bounded by (Formula presented.)where n is the number of nodes, d is the input dimension of the function, N is the number of training observations, and Cf is the first absolute moment of the Fourier magnitude distribution of f. The two contributions to this total risk are the approximation error and the estimation error. Approximation error refers to the distance between the target function and the closest neural network function of a given architecture and estimation error refers to the distance between this ideal network function and an estimated network function. With n ~ Cf(N/(dlog N))1/2 nodes, the order of the bound on the mean integrated squared error is optimized to be O(Cf((d/N)log N)1/2). The bound demonstrates surprisingly favorable properties of network estimation compared to traditional series and nonparametric curve estimation techniques in the case that d is moderately large. Similar bounds are obtained when the number of nodes n is not preselected as a function of Cf (which is generally not known a priori), but rather the number of nodes is optimized from the observed data by the use of a complexity regularization or minimum description length criterion. The analysis involves Fourier techniques for the approximation error, metric entropy considerations for the estimation error, and a calculation of the index of resolvability of minimum complexity estimation of the family of networks. © 1994, Kluwer Academic Publishers. All rights reserved.","author":[{"dropping-particle":"","family":"Barron","given":"Andrew R.","non-dropping-particle":"","parse-names":false,"suffix":""}],"container-title":"Machine Learning","id":"ITEM-1","issued":{"date-parts":[["1994"]]},"title":"Approximation and Estimation Bounds for Artificial Neural Networks","type":"article-journal"},"uris":["http://www.mendeley.com/documents/?uuid=d73e6474-ffe8-4191-b310-900dca3d0422"]},{"id":"ITEM-2","itemData":{"DOI":"10.1117/1.2819119","ISBN":"0387310738","ISSN":"1098-6596","PMID":"25246403","abstract":"The dramatic growth in practical applications for machine learning over the last ten years has been accompanied by many important developments in the underlying algorithms and techniques. For example, Bayesian methods have grown from a specialist niche to become mainstream, while graphical models have emerged as a general framework for describing and applying probabilistic techniques. The practical applicability of Bayesian methods has been greatly enhanced by the development of a range of approximate inference algorithms such as variational Bayes and expectation propagation, while new models based on kernels have had a significant impact on both algorithms and applications. This completely new textbook reflects these recent developments while providing a comprehensive introduction to the fields of pattern recognition and machine learning. It is aimed at advanced undergraduates or first-year PhD students, as well as researchers and practitioners. No previous knowledge of pattern recognition or machine learning concepts is assumed. Familiarity with multivariate calculus and basic linear algebra is required, and some experience in the use of probabilities would be helpful though not essential as the book includes a self-contained introduction to basic probability theory. The book is suitable for courses on machine learning, statistics, computer science, signal processing, computer vision, data mining, and bioinformatics. Extensive support is provided for course instructors, including more than 400 exercises, graded according to difficulty. Example solutions for a subset of the exercises are available from the book web site, while solutions for the remainder can be obtained by instructors from the publisher. The book is supported by a great deal of additional material, and the reader is encouraged to visit the book web site for the latest information. Christopher M. Bishop is Deputy Director of Microsoft Research Cambridge, and holds a Chair in Computer Science at the University of Edinburgh. He is a Fellow of Darwin College Cambridge, a Fellow of the Royal Academy of Engineering, and a Fellow of the Royal Society of Edinburgh. His previous textbook \"Neural Networks for Pattern Recognition\" has been widely adopted.","author":[{"dropping-particle":"","family":"Bishop","given":"Christopher M","non-dropping-particle":"","parse-names":false,"suffix":""}],"container-title":"Journal of Chemical Information and Modeling","id":"ITEM-2","issued":{"date-parts":[["2006"]]},"title":"Pattern recognition and machine learning / Christopher M. Bishop.","type":"book"},"uris":["http://www.mendeley.com/documents/?uuid=2f241171-b40f-4bbd-bcdc-557b6e0af2fb"]},{"id":"ITEM-3","itemData":{"DOI":"10.1162/neco.1996.8.1.164","ISSN":"08997667","abstract":"We prove that neural networks with a single hidden layer are capable of providing an optimal order of approximation for functions assumed to possess a given number of derivatives, if the activation function evaluated by each principal element satisfies certain technical conditions. Under these conditions, it is also possible to construct networks that provide a geometric order of approximation for analytic target functions. The permissible activation functions include the squashing function (1 + e-x)-1 as well as a variety of radial basis functions. Our proofs are constructive. The weights and thresholds of our networks are chosen independently of the target function; we give explicit formulas for the coefficients as simple, continuous, linear functionals of the target function.","author":[{"dropping-particle":"","family":"Mhaskar","given":"H. N.","non-dropping-particle":"","parse-names":false,"suffix":""}],"container-title":"Neural Computation","id":"ITEM-3","issued":{"date-parts":[["1996"]]},"title":"Neural Networks for Optimal Approximation of Smooth and Analytic Functions","type":"article-journal"},"uris":["http://www.mendeley.com/documents/?uuid=2d985545-3fe0-4140-8ad5-8c4ea4421f94"]}],"mendeley":{"formattedCitation":"[14–16]","plainTextFormattedCitation":"[14–16]","previouslyFormattedCitation":"[14–16]"},"properties":{"noteIndex":0},"schema":"https://github.com/citation-style-language/schema/raw/master/csl-citation.json"}</w:instrText>
      </w:r>
      <w:r w:rsidR="00577D86">
        <w:rPr>
          <w:sz w:val="20"/>
          <w:szCs w:val="20"/>
        </w:rPr>
        <w:fldChar w:fldCharType="separate"/>
      </w:r>
      <w:r w:rsidR="00577D86" w:rsidRPr="00577D86">
        <w:rPr>
          <w:noProof/>
          <w:sz w:val="20"/>
          <w:szCs w:val="20"/>
        </w:rPr>
        <w:t>[14–16]</w:t>
      </w:r>
      <w:r w:rsidR="00577D86">
        <w:rPr>
          <w:sz w:val="20"/>
          <w:szCs w:val="20"/>
        </w:rPr>
        <w:fldChar w:fldCharType="end"/>
      </w:r>
      <w:r w:rsidRPr="00E60A2A">
        <w:rPr>
          <w:sz w:val="20"/>
          <w:szCs w:val="20"/>
        </w:rPr>
        <w:t xml:space="preserve"> In addition, it does not require </w:t>
      </w:r>
      <w:r w:rsidRPr="00E742D6">
        <w:rPr>
          <w:i/>
          <w:iCs/>
          <w:sz w:val="20"/>
          <w:szCs w:val="20"/>
        </w:rPr>
        <w:t>a priori</w:t>
      </w:r>
      <w:r w:rsidRPr="00E60A2A">
        <w:rPr>
          <w:sz w:val="20"/>
          <w:szCs w:val="20"/>
        </w:rPr>
        <w:t xml:space="preserve"> knowledge of what interactions and functional forms are likely to be relevant among covariates. Therefore, it is suited to overcome the issues in logistic regression-based PSM approach. A neural network can be built to provide the estimation of treatment group assignment probability (e.g. through </w:t>
      </w:r>
      <w:r w:rsidRPr="00E56939">
        <w:rPr>
          <w:i/>
          <w:iCs/>
          <w:sz w:val="20"/>
          <w:szCs w:val="20"/>
        </w:rPr>
        <w:t>softmax</w:t>
      </w:r>
      <w:r w:rsidRPr="00E60A2A">
        <w:rPr>
          <w:sz w:val="20"/>
          <w:szCs w:val="20"/>
        </w:rPr>
        <w:t>), and consequently of ATE and ITE.</w:t>
      </w:r>
    </w:p>
    <w:p w14:paraId="3DF841CC" w14:textId="4A481616" w:rsidR="003F0336" w:rsidRPr="003F0336" w:rsidRDefault="003F0336" w:rsidP="003F0336">
      <w:pPr>
        <w:spacing w:line="480" w:lineRule="auto"/>
        <w:ind w:firstLine="720"/>
        <w:rPr>
          <w:sz w:val="20"/>
          <w:szCs w:val="20"/>
        </w:rPr>
      </w:pPr>
      <w:r w:rsidRPr="003F0336">
        <w:rPr>
          <w:sz w:val="20"/>
          <w:szCs w:val="20"/>
        </w:rPr>
        <w:t>Alaa, Weisz and van Der Schaar designed a multitask deep counterfactual network with propensity dropout (DCN-PD)</w:t>
      </w:r>
      <w:r w:rsidR="001114D1">
        <w:rPr>
          <w:sz w:val="20"/>
          <w:szCs w:val="20"/>
        </w:rPr>
        <w:t>,</w:t>
      </w:r>
      <w:r w:rsidR="001114D1">
        <w:rPr>
          <w:sz w:val="20"/>
          <w:szCs w:val="20"/>
        </w:rPr>
        <w:fldChar w:fldCharType="begin" w:fldLock="1"/>
      </w:r>
      <w:r w:rsidR="00FF2807">
        <w:rPr>
          <w:sz w:val="20"/>
          <w:szCs w:val="20"/>
        </w:rPr>
        <w:instrText>ADDIN CSL_CITATION {"citationItems":[{"id":"ITEM-1","itemData":{"abstract":"We propose a novel approach for inferring the individualized causal effects of a treatment (intervention) from observational data. Our approach conceptualizes causal inference as a multitask learning problem; we model a subject's potential outcomes using a deep multitask network with a set of shared layers among the factual and counterfactual outcomes, and a set of outcome-specific layers. The impact of selection bias in the observational data is alleviated via a propensity-dropout regularization scheme, in which the network is thinned for every training example via a dropout probability that depends on the associated propensity score. The network is trained in alternating phases, where in each phase we use the training examples of one of the two potential outcomes (treated and control populations) to update the weights of the shared layers and the respective outcome-specific layers. Experiments conducted on data based on a real-world observational study show that our algorithm outperforms the state-of-the-art.","author":[{"dropping-particle":"","family":"Alaa","given":"Ahmed M.","non-dropping-particle":"","parse-names":false,"suffix":""},{"dropping-particle":"","family":"Weisz","given":"Michael","non-dropping-particle":"","parse-names":false,"suffix":""},{"dropping-particle":"","family":"Schaar","given":"Mihaela","non-dropping-particle":"van der","parse-names":false,"suffix":""}],"id":"ITEM-1","issued":{"date-parts":[["2017"]]},"title":"Deep Counterfactual Networks with Propensity-Dropout","type":"article-journal"},"uris":["http://www.mendeley.com/documents/?uuid=ae03d306-b906-4b86-ad33-9495f4a62b33"]}],"mendeley":{"formattedCitation":"[17]","plainTextFormattedCitation":"[17]","previouslyFormattedCitation":"[17]"},"properties":{"noteIndex":0},"schema":"https://github.com/citation-style-language/schema/raw/master/csl-citation.json"}</w:instrText>
      </w:r>
      <w:r w:rsidR="001114D1">
        <w:rPr>
          <w:sz w:val="20"/>
          <w:szCs w:val="20"/>
        </w:rPr>
        <w:fldChar w:fldCharType="separate"/>
      </w:r>
      <w:r w:rsidR="001114D1" w:rsidRPr="001114D1">
        <w:rPr>
          <w:noProof/>
          <w:sz w:val="20"/>
          <w:szCs w:val="20"/>
        </w:rPr>
        <w:t>[17]</w:t>
      </w:r>
      <w:r w:rsidR="001114D1">
        <w:rPr>
          <w:sz w:val="20"/>
          <w:szCs w:val="20"/>
        </w:rPr>
        <w:fldChar w:fldCharType="end"/>
      </w:r>
      <w:r w:rsidRPr="003F0336">
        <w:rPr>
          <w:sz w:val="20"/>
          <w:szCs w:val="20"/>
        </w:rPr>
        <w:t xml:space="preserve"> where a feed-forward network with a set of shared layers is used to calculate the counterfactual outcomes, but being regularized by another network that calculates propensity scores and a dropout probability for training examples</w:t>
      </w:r>
      <w:r w:rsidR="00FF2807">
        <w:rPr>
          <w:sz w:val="20"/>
          <w:szCs w:val="20"/>
        </w:rPr>
        <w:t>.</w:t>
      </w:r>
      <w:r w:rsidR="00FF2807">
        <w:rPr>
          <w:sz w:val="20"/>
          <w:szCs w:val="20"/>
        </w:rPr>
        <w:fldChar w:fldCharType="begin" w:fldLock="1"/>
      </w:r>
      <w:r w:rsidR="00FD2D57">
        <w:rPr>
          <w:sz w:val="20"/>
          <w:szCs w:val="20"/>
        </w:rPr>
        <w:instrText>ADDIN CSL_CITATION {"citationItems":[{"id":"ITEM-1","itemData":{"ISBN":"9781510829008","abstract":"Deep learning tools have gained tremendous attention in applied machine learning. However such tools for regression and classification do not capture model uncertainty. In comparison, Bayesian models offer a mathematically grounded framework to reason about model uncertainty, but usually come with a prohibitive computational cost. In this paper we develop a new theoretical framework casting dropout training in deep neural networks (NNs) as approximate Bayesian inference in deep Gaussian processes. A direct result of this theory gives us tools to model uncertainty with dropout NNs - extracting information from existing models that has been thrown away so far. This mitigates the problem of representing uncertainty in deep learning without sacrificing either computational complexity or test accuracy. We perform an extensive study of the properties of dropout's uncertainty. Various network architectures and nonlinearities are assessed on tasks of regression and classification, using MNIST as an example. We show a considerable improvement in predictive log-likelihood and RMSE compared to existing state-of-the-art methods, and finish by using dropout's uncertainty in deep reinforcement learning.","author":[{"dropping-particle":"","family":"Gal","given":"Yarin","non-dropping-particle":"","parse-names":false,"suffix":""},{"dropping-particle":"","family":"Ghahramani","given":"Zoubin","non-dropping-particle":"","parse-names":false,"suffix":""}],"container-title":"33rd International Conference on Machine Learning, ICML 2016","id":"ITEM-1","issued":{"date-parts":[["2016"]]},"title":"Dropout as a Bayesian approximation: Representing model uncertainty in deep learning","type":"paper-conference"},"uris":["http://www.mendeley.com/documents/?uuid=763f493c-ebf2-4ffc-bfa4-837f83353550"]}],"mendeley":{"formattedCitation":"[18]","plainTextFormattedCitation":"[18]","previouslyFormattedCitation":"[18]"},"properties":{"noteIndex":0},"schema":"https://github.com/citation-style-language/schema/raw/master/csl-citation.json"}</w:instrText>
      </w:r>
      <w:r w:rsidR="00FF2807">
        <w:rPr>
          <w:sz w:val="20"/>
          <w:szCs w:val="20"/>
        </w:rPr>
        <w:fldChar w:fldCharType="separate"/>
      </w:r>
      <w:r w:rsidR="00FF2807" w:rsidRPr="00FF2807">
        <w:rPr>
          <w:noProof/>
          <w:sz w:val="20"/>
          <w:szCs w:val="20"/>
        </w:rPr>
        <w:t>[18]</w:t>
      </w:r>
      <w:r w:rsidR="00FF2807">
        <w:rPr>
          <w:sz w:val="20"/>
          <w:szCs w:val="20"/>
        </w:rPr>
        <w:fldChar w:fldCharType="end"/>
      </w:r>
      <w:r w:rsidRPr="003F0336">
        <w:rPr>
          <w:sz w:val="20"/>
          <w:szCs w:val="20"/>
        </w:rPr>
        <w:t xml:space="preserve"> Through alternating training phases (treatment vs. control groups), both the shared and the outcome layers' weights are updated. The DCN-PD led to lower mean squared error (MSE) in treatment assignments and more accurate estimates of ATE than other classic PSM methods.</w:t>
      </w:r>
    </w:p>
    <w:p w14:paraId="0E662497" w14:textId="7FDC140C" w:rsidR="003F0336" w:rsidRPr="00374E24" w:rsidRDefault="003F0336" w:rsidP="008B5560">
      <w:pPr>
        <w:spacing w:line="480" w:lineRule="auto"/>
        <w:ind w:firstLine="720"/>
        <w:rPr>
          <w:sz w:val="20"/>
          <w:szCs w:val="20"/>
        </w:rPr>
      </w:pPr>
      <w:r w:rsidRPr="003F0336">
        <w:rPr>
          <w:sz w:val="20"/>
          <w:szCs w:val="20"/>
        </w:rPr>
        <w:t xml:space="preserve">In this work, we propose a novel deep neural architecture </w:t>
      </w:r>
      <m:oMath>
        <m:r>
          <m:rPr>
            <m:sty m:val="bi"/>
          </m:rPr>
          <w:rPr>
            <w:rFonts w:ascii="Cambria Math" w:hAnsi="Cambria Math"/>
          </w:rPr>
          <m:t>–</m:t>
        </m:r>
      </m:oMath>
      <w:r w:rsidR="002675C3">
        <w:rPr>
          <w:b/>
          <w:bCs/>
        </w:rPr>
        <w:t xml:space="preserve"> </w:t>
      </w:r>
      <w:r w:rsidRPr="003F0336">
        <w:rPr>
          <w:sz w:val="20"/>
          <w:szCs w:val="20"/>
        </w:rPr>
        <w:t>the deep propensity network using a sparse autoencoder (DPN-SA)</w:t>
      </w:r>
      <w:r w:rsidR="00D84FAE">
        <w:rPr>
          <w:sz w:val="20"/>
          <w:szCs w:val="20"/>
        </w:rPr>
        <w:t xml:space="preserve"> </w:t>
      </w:r>
      <m:oMath>
        <m:r>
          <m:rPr>
            <m:sty m:val="bi"/>
          </m:rPr>
          <w:rPr>
            <w:rFonts w:ascii="Cambria Math" w:hAnsi="Cambria Math"/>
          </w:rPr>
          <m:t>–</m:t>
        </m:r>
      </m:oMath>
      <w:r w:rsidR="000E35AF">
        <w:rPr>
          <w:b/>
          <w:bCs/>
        </w:rPr>
        <w:t xml:space="preserve"> </w:t>
      </w:r>
      <w:r w:rsidRPr="003F0336">
        <w:rPr>
          <w:sz w:val="20"/>
          <w:szCs w:val="20"/>
        </w:rPr>
        <w:t>that addresses the problem of high-dimensional PSM, yet maintains the MSE advantage of the DCN-PD approach as compared to others. The DPN-SA estimates the propensity score using a sparse autoencoder</w:t>
      </w:r>
      <w:r w:rsidR="00FD2D57">
        <w:rPr>
          <w:sz w:val="20"/>
          <w:szCs w:val="20"/>
        </w:rPr>
        <w:fldChar w:fldCharType="begin" w:fldLock="1"/>
      </w:r>
      <w:r w:rsidR="0003760A">
        <w:rPr>
          <w:sz w:val="20"/>
          <w:szCs w:val="20"/>
        </w:rPr>
        <w:instrText>ADDIN CSL_CITATION {"citationItems":[{"id":"ITEM-1","itemData":{"author":[{"dropping-particle":"","family":"Ng","given":"Andrew","non-dropping-particle":"","parse-names":false,"suffix":""}],"id":"ITEM-1","issued":{"date-parts":[["0"]]},"title":"CS294A Lecture notes Sparse autoencoder","type":"report"},"uris":["http://www.mendeley.com/documents/?uuid=b46c232c-82af-31ff-8597-ae99dddc324a"]}],"mendeley":{"formattedCitation":"[19]","plainTextFormattedCitation":"[19]","previouslyFormattedCitation":"[19]"},"properties":{"noteIndex":0},"schema":"https://github.com/citation-style-language/schema/raw/master/csl-citation.json"}</w:instrText>
      </w:r>
      <w:r w:rsidR="00FD2D57">
        <w:rPr>
          <w:sz w:val="20"/>
          <w:szCs w:val="20"/>
        </w:rPr>
        <w:fldChar w:fldCharType="separate"/>
      </w:r>
      <w:r w:rsidR="00FD2D57" w:rsidRPr="00FD2D57">
        <w:rPr>
          <w:noProof/>
          <w:sz w:val="20"/>
          <w:szCs w:val="20"/>
        </w:rPr>
        <w:t>[19]</w:t>
      </w:r>
      <w:r w:rsidR="00FD2D57">
        <w:rPr>
          <w:sz w:val="20"/>
          <w:szCs w:val="20"/>
        </w:rPr>
        <w:fldChar w:fldCharType="end"/>
      </w:r>
      <w:r w:rsidR="00FD2D57">
        <w:rPr>
          <w:sz w:val="20"/>
          <w:szCs w:val="20"/>
        </w:rPr>
        <w:t xml:space="preserve"> </w:t>
      </w:r>
      <w:r w:rsidRPr="003F0336">
        <w:rPr>
          <w:sz w:val="20"/>
          <w:szCs w:val="20"/>
        </w:rPr>
        <w:t>which at the same time learns a nonlinear feature representation and reduces the dimensionality of the pre-treatment covariate space. The sparse autoencoder is learnt in an end-to-end manner, while the counterfactual prediction follows the original DCN-PD network layout.</w:t>
      </w:r>
    </w:p>
    <w:p w14:paraId="4206A0E0" w14:textId="67E9BEF3" w:rsidR="00042E7B" w:rsidRDefault="000138A5" w:rsidP="00042E7B">
      <w:pPr>
        <w:pStyle w:val="AMIAHeading"/>
        <w:spacing w:line="480" w:lineRule="auto"/>
      </w:pPr>
      <w:r>
        <w:lastRenderedPageBreak/>
        <w:t xml:space="preserve">2 </w:t>
      </w:r>
      <w:r w:rsidR="00816C72">
        <w:t>Methodology</w:t>
      </w:r>
    </w:p>
    <w:p w14:paraId="0C1E0C54" w14:textId="477EFC0A" w:rsidR="009F374B" w:rsidRDefault="00BC3232" w:rsidP="00042E7B">
      <w:pPr>
        <w:pStyle w:val="AMIAHeading"/>
        <w:spacing w:line="480" w:lineRule="auto"/>
      </w:pPr>
      <w:r>
        <w:t xml:space="preserve">2.1 </w:t>
      </w:r>
      <w:r w:rsidR="009F374B" w:rsidRPr="009F374B">
        <w:t>Problem Formulation</w:t>
      </w:r>
    </w:p>
    <w:p w14:paraId="6D97D655" w14:textId="35639441" w:rsidR="00056256" w:rsidRDefault="00967143" w:rsidP="00642673">
      <w:pPr>
        <w:pStyle w:val="AMIAHeading"/>
        <w:spacing w:line="480" w:lineRule="auto"/>
        <w:jc w:val="left"/>
      </w:pPr>
      <w:r w:rsidRPr="00967143">
        <w:rPr>
          <w:b w:val="0"/>
          <w:bCs/>
        </w:rPr>
        <w:t xml:space="preserve">Let assume a population sample (independent and identically distributed) of </w:t>
      </w:r>
      <m:oMath>
        <m:r>
          <w:rPr>
            <w:rFonts w:ascii="Cambria Math" w:hAnsi="Cambria Math"/>
          </w:rPr>
          <m:t>N</m:t>
        </m:r>
      </m:oMath>
      <w:r w:rsidRPr="00967143">
        <w:rPr>
          <w:b w:val="0"/>
          <w:bCs/>
        </w:rPr>
        <w:t xml:space="preserve"> </w:t>
      </w:r>
      <m:oMath>
        <m:d>
          <m:dPr>
            <m:ctrlPr>
              <w:rPr>
                <w:rFonts w:ascii="Cambria Math" w:hAnsi="Cambria Math"/>
                <w:b w:val="0"/>
                <w:bCs/>
                <w:i/>
              </w:rPr>
            </m:ctrlPr>
          </m:dPr>
          <m:e>
            <m:r>
              <w:rPr>
                <w:rFonts w:ascii="Cambria Math" w:hAnsi="Cambria Math"/>
              </w:rPr>
              <m:t>1…i…n</m:t>
            </m:r>
          </m:e>
        </m:d>
      </m:oMath>
      <w:r w:rsidRPr="00967143">
        <w:rPr>
          <w:b w:val="0"/>
          <w:bCs/>
        </w:rPr>
        <w:t xml:space="preserve"> individuals, given background set of pre-treatment covariates </w:t>
      </w:r>
      <m:oMath>
        <m:r>
          <m:rPr>
            <m:sty m:val="bi"/>
          </m:rPr>
          <w:rPr>
            <w:rFonts w:ascii="Cambria Math" w:hAnsi="Cambria Math"/>
          </w:rPr>
          <m:t>X</m:t>
        </m:r>
        <m:r>
          <w:rPr>
            <w:rFonts w:ascii="Cambria Math" w:hAnsi="Cambria Math"/>
          </w:rPr>
          <m:t>,</m:t>
        </m:r>
        <m:r>
          <w:rPr>
            <w:rFonts w:ascii="Cambria Math" w:hAnsi="Cambria Math"/>
          </w:rPr>
          <m:t xml:space="preserve"> </m:t>
        </m:r>
      </m:oMath>
      <w:r w:rsidRPr="00967143">
        <w:rPr>
          <w:b w:val="0"/>
          <w:bCs/>
        </w:rPr>
        <w:t xml:space="preserve">a treatment </w:t>
      </w:r>
      <m:oMath>
        <m:r>
          <w:rPr>
            <w:rFonts w:ascii="Cambria Math" w:hAnsi="Cambria Math"/>
          </w:rPr>
          <m:t>T</m:t>
        </m:r>
      </m:oMath>
      <w:r w:rsidR="002B12D0">
        <w:rPr>
          <w:b w:val="0"/>
          <w:bCs/>
        </w:rPr>
        <w:t xml:space="preserve"> </w:t>
      </w:r>
      <w:r w:rsidRPr="00967143">
        <w:rPr>
          <w:b w:val="0"/>
          <w:bCs/>
        </w:rPr>
        <w:t xml:space="preserve">(binary, for simplicity) and a health outcome </w:t>
      </w:r>
      <m:oMath>
        <m:r>
          <w:rPr>
            <w:rFonts w:ascii="Cambria Math" w:hAnsi="Cambria Math"/>
          </w:rPr>
          <m:t>Y</m:t>
        </m:r>
      </m:oMath>
      <w:r w:rsidRPr="00967143">
        <w:rPr>
          <w:b w:val="0"/>
          <w:bCs/>
        </w:rPr>
        <w:t xml:space="preserve">. Each subject </w:t>
      </w:r>
      <m:oMath>
        <m:r>
          <w:rPr>
            <w:rFonts w:ascii="Cambria Math" w:hAnsi="Cambria Math"/>
          </w:rPr>
          <m:t>i</m:t>
        </m:r>
      </m:oMath>
      <w:r w:rsidRPr="00967143">
        <w:rPr>
          <w:b w:val="0"/>
          <w:bCs/>
        </w:rPr>
        <w:t xml:space="preserve"> is represented by the tuple</w:t>
      </w:r>
      <w:r w:rsidR="0038385E">
        <w:rPr>
          <w:b w:val="0"/>
          <w:bCs/>
        </w:rPr>
        <w:t xml:space="preserve"> </w:t>
      </w:r>
      <w:r w:rsidR="0015532A">
        <w:rPr>
          <w:b w:val="0"/>
          <w:bCs/>
        </w:rPr>
        <w:t>{</w:t>
      </w:r>
      <w:r w:rsidR="0083577C" w:rsidRPr="0083577C">
        <w:rPr>
          <w:i/>
          <w:iCs/>
        </w:rPr>
        <w:t>X</w:t>
      </w:r>
      <w:r w:rsidR="0083577C" w:rsidRPr="0083577C">
        <w:rPr>
          <w:i/>
          <w:iCs/>
          <w:vertAlign w:val="subscript"/>
        </w:rPr>
        <w:t>i</w:t>
      </w:r>
      <w:r w:rsidR="0038385E">
        <w:rPr>
          <w:i/>
          <w:iCs/>
          <w:vertAlign w:val="subscript"/>
        </w:rPr>
        <w:t xml:space="preserve"> </w:t>
      </w:r>
      <w:r w:rsidR="0038385E" w:rsidRPr="0038385E">
        <w:rPr>
          <w:b w:val="0"/>
          <w:bCs/>
          <w:i/>
          <w:iCs/>
        </w:rPr>
        <w:t>,</w:t>
      </w:r>
      <w:r w:rsidR="001B3E92">
        <w:rPr>
          <w:b w:val="0"/>
          <w:bCs/>
          <w:i/>
          <w:iCs/>
        </w:rPr>
        <w:t xml:space="preserve"> </w:t>
      </w:r>
      <w:r w:rsidR="0083577C" w:rsidRPr="0038385E">
        <w:rPr>
          <w:b w:val="0"/>
          <w:bCs/>
          <w:i/>
          <w:iCs/>
        </w:rPr>
        <w:t>T</w:t>
      </w:r>
      <w:r w:rsidR="0083577C" w:rsidRPr="0038385E">
        <w:rPr>
          <w:b w:val="0"/>
          <w:bCs/>
          <w:i/>
          <w:iCs/>
          <w:vertAlign w:val="subscript"/>
        </w:rPr>
        <w:t>i</w:t>
      </w:r>
      <w:r w:rsidR="0038385E" w:rsidRPr="0038385E">
        <w:rPr>
          <w:b w:val="0"/>
          <w:bCs/>
          <w:i/>
          <w:iCs/>
          <w:vertAlign w:val="subscript"/>
        </w:rPr>
        <w:t xml:space="preserve"> </w:t>
      </w:r>
      <w:r w:rsidR="0038385E" w:rsidRPr="0038385E">
        <w:rPr>
          <w:b w:val="0"/>
          <w:bCs/>
          <w:i/>
          <w:iCs/>
        </w:rPr>
        <w:t>,</w:t>
      </w:r>
      <w:r w:rsidR="00C2077D">
        <w:rPr>
          <w:b w:val="0"/>
          <w:bCs/>
          <w:i/>
          <w:iCs/>
        </w:rPr>
        <w:t xml:space="preserve"> </w:t>
      </w:r>
      <w:r w:rsidR="0038385E">
        <w:rPr>
          <w:b w:val="0"/>
          <w:bCs/>
          <w:i/>
          <w:iCs/>
        </w:rPr>
        <w:t>Y</w:t>
      </w:r>
      <w:r w:rsidR="0038385E" w:rsidRPr="0038385E">
        <w:rPr>
          <w:b w:val="0"/>
          <w:bCs/>
          <w:i/>
          <w:iCs/>
          <w:vertAlign w:val="subscript"/>
        </w:rPr>
        <w:t>i</w:t>
      </w:r>
      <w:r w:rsidR="0038385E">
        <w:rPr>
          <w:i/>
          <w:iCs/>
          <w:vertAlign w:val="subscript"/>
        </w:rPr>
        <w:t xml:space="preserve"> </w:t>
      </w:r>
      <w:r w:rsidR="0015532A">
        <w:rPr>
          <w:b w:val="0"/>
          <w:bCs/>
        </w:rPr>
        <w:t>}</w:t>
      </w:r>
      <w:r w:rsidRPr="00967143">
        <w:rPr>
          <w:b w:val="0"/>
          <w:bCs/>
        </w:rPr>
        <w:t xml:space="preserve">. Let </w:t>
      </w:r>
      <w:r w:rsidR="00E8435D">
        <w:rPr>
          <w:b w:val="0"/>
          <w:bCs/>
          <w:i/>
          <w:iCs/>
        </w:rPr>
        <w:t>Y</w:t>
      </w:r>
      <w:r w:rsidR="00E8435D" w:rsidRPr="00E8435D">
        <w:rPr>
          <w:b w:val="0"/>
          <w:bCs/>
          <w:i/>
          <w:iCs/>
          <w:vertAlign w:val="subscript"/>
        </w:rPr>
        <w:t>i</w:t>
      </w:r>
      <w:r w:rsidR="00E8435D" w:rsidRPr="00E8435D">
        <w:rPr>
          <w:b w:val="0"/>
          <w:bCs/>
          <w:i/>
          <w:iCs/>
          <w:vertAlign w:val="superscript"/>
        </w:rPr>
        <w:t>0</w:t>
      </w:r>
      <w:r w:rsidR="00E8435D">
        <w:rPr>
          <w:b w:val="0"/>
          <w:bCs/>
          <w:i/>
          <w:iCs/>
        </w:rPr>
        <w:t xml:space="preserve"> </w:t>
      </w:r>
      <w:r w:rsidRPr="00967143">
        <w:rPr>
          <w:b w:val="0"/>
          <w:bCs/>
        </w:rPr>
        <w:t xml:space="preserve">and </w:t>
      </w:r>
      <w:r w:rsidR="00E8435D">
        <w:rPr>
          <w:b w:val="0"/>
          <w:bCs/>
          <w:i/>
          <w:iCs/>
        </w:rPr>
        <w:t>Y</w:t>
      </w:r>
      <w:r w:rsidR="00E8435D" w:rsidRPr="00E8435D">
        <w:rPr>
          <w:b w:val="0"/>
          <w:bCs/>
          <w:i/>
          <w:iCs/>
          <w:vertAlign w:val="subscript"/>
        </w:rPr>
        <w:t>i</w:t>
      </w:r>
      <w:r w:rsidR="00E8435D" w:rsidRPr="00E8435D">
        <w:rPr>
          <w:b w:val="0"/>
          <w:bCs/>
          <w:vertAlign w:val="superscript"/>
        </w:rPr>
        <w:t>1</w:t>
      </w:r>
      <w:r w:rsidR="00E8435D">
        <w:rPr>
          <w:b w:val="0"/>
          <w:bCs/>
          <w:vertAlign w:val="superscript"/>
        </w:rPr>
        <w:t xml:space="preserve"> </w:t>
      </w:r>
      <w:r w:rsidRPr="00967143">
        <w:rPr>
          <w:b w:val="0"/>
          <w:bCs/>
        </w:rPr>
        <w:t xml:space="preserve">the potential outcome for individual </w:t>
      </w:r>
      <w:r w:rsidRPr="00D45414">
        <w:rPr>
          <w:b w:val="0"/>
          <w:bCs/>
          <w:i/>
          <w:iCs/>
        </w:rPr>
        <w:t>i</w:t>
      </w:r>
      <w:r w:rsidRPr="00967143">
        <w:rPr>
          <w:b w:val="0"/>
          <w:bCs/>
        </w:rPr>
        <w:t xml:space="preserve"> under treatment </w:t>
      </w:r>
      <w:r w:rsidRPr="00687F80">
        <w:rPr>
          <w:b w:val="0"/>
          <w:bCs/>
          <w:i/>
          <w:iCs/>
        </w:rPr>
        <w:t>T</w:t>
      </w:r>
      <w:r w:rsidRPr="00687F80">
        <w:rPr>
          <w:b w:val="0"/>
          <w:bCs/>
          <w:i/>
          <w:iCs/>
          <w:vertAlign w:val="subscript"/>
        </w:rPr>
        <w:t>i</w:t>
      </w:r>
      <w:r w:rsidR="00687F80">
        <w:rPr>
          <w:b w:val="0"/>
          <w:bCs/>
          <w:i/>
          <w:iCs/>
          <w:vertAlign w:val="subscript"/>
        </w:rPr>
        <w:t xml:space="preserve"> </w:t>
      </w:r>
      <w:r w:rsidRPr="00967143">
        <w:rPr>
          <w:b w:val="0"/>
          <w:bCs/>
        </w:rPr>
        <w:t>=</w:t>
      </w:r>
      <w:r w:rsidR="00687F80">
        <w:rPr>
          <w:b w:val="0"/>
          <w:bCs/>
        </w:rPr>
        <w:t xml:space="preserve"> </w:t>
      </w:r>
      <w:r w:rsidRPr="00967143">
        <w:rPr>
          <w:b w:val="0"/>
          <w:bCs/>
        </w:rPr>
        <w:t xml:space="preserve">0and </w:t>
      </w:r>
      <w:r w:rsidRPr="00687F80">
        <w:rPr>
          <w:b w:val="0"/>
          <w:bCs/>
          <w:i/>
          <w:iCs/>
        </w:rPr>
        <w:t>T</w:t>
      </w:r>
      <w:r w:rsidRPr="00687F80">
        <w:rPr>
          <w:b w:val="0"/>
          <w:bCs/>
          <w:i/>
          <w:iCs/>
          <w:vertAlign w:val="subscript"/>
        </w:rPr>
        <w:t>i</w:t>
      </w:r>
      <w:r w:rsidR="00687F80">
        <w:rPr>
          <w:b w:val="0"/>
          <w:bCs/>
          <w:i/>
          <w:iCs/>
          <w:vertAlign w:val="subscript"/>
        </w:rPr>
        <w:t xml:space="preserve"> </w:t>
      </w:r>
      <w:r w:rsidRPr="00967143">
        <w:rPr>
          <w:b w:val="0"/>
          <w:bCs/>
        </w:rPr>
        <w:t>=</w:t>
      </w:r>
      <w:r w:rsidR="00687F80">
        <w:rPr>
          <w:b w:val="0"/>
          <w:bCs/>
        </w:rPr>
        <w:t xml:space="preserve"> </w:t>
      </w:r>
      <w:r w:rsidRPr="00967143">
        <w:rPr>
          <w:b w:val="0"/>
          <w:bCs/>
        </w:rPr>
        <w:t>1, respectively</w:t>
      </w:r>
      <w:r w:rsidR="0003760A">
        <w:rPr>
          <w:b w:val="0"/>
          <w:bCs/>
        </w:rPr>
        <w:t>.</w:t>
      </w:r>
      <w:r w:rsidR="0003760A">
        <w:rPr>
          <w:b w:val="0"/>
          <w:bCs/>
        </w:rPr>
        <w:fldChar w:fldCharType="begin" w:fldLock="1"/>
      </w:r>
      <w:r w:rsidR="007C2B01">
        <w:rPr>
          <w:b w:val="0"/>
          <w:bCs/>
        </w:rPr>
        <w:instrText>ADDIN CSL_CITATION {"citationItems":[{"id":"ITEM-1","itemData":{"DOI":"10.1037/h0037350","ISSN":"00220663","abstract":"Presents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2006 APA, all rights reserved). © 1974 American Psychological Association.","author":[{"dropping-particle":"","family":"Rubin","given":"Donald B.","non-dropping-particle":"","parse-names":false,"suffix":""}],"container-title":"Journal of Educational Psychology","id":"ITEM-1","issue":"5","issued":{"date-parts":[["1974","10"]]},"page":"688-701","title":"Estimating causal effects of treatments in randomized and nonrandomized studies","type":"article-journal","volume":"66"},"uris":["http://www.mendeley.com/documents/?uuid=c6bba511-58fc-3029-b671-0cffb3318ec1"]},{"id":"ITEM-2","itemData":{"DOI":"10.1198/016214504000001880","ISSN":"01621459","abstract":"Causal effects are defined as comparisons of potential outcomes under different treatments on a common set of units. Observed values of the potential outcomes are revealed by the assignment mechanism - 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 © 2005 American Statistical Association.","author":[{"dropping-particle":"","family":"Rubin","given":"Donald B.","non-dropping-particle":"","parse-names":false,"suffix":""}],"container-title":"Journal of the American Statistical Association","id":"ITEM-2","issue":"469","issued":{"date-parts":[["2005","3"]]},"page":"322-331","publisher":"Taylor &amp; Francis","title":"Causal inference using potential outcomes: Design, modeling, decisions","type":"article-journal","volume":"100"},"uris":["http://www.mendeley.com/documents/?uuid=152f8541-b79a-394e-bb27-cdc49ad0a9e9"]}],"mendeley":{"formattedCitation":"[20,21]","plainTextFormattedCitation":"[20,21]","previouslyFormattedCitation":"[20,21]"},"properties":{"noteIndex":0},"schema":"https://github.com/citation-style-language/schema/raw/master/csl-citation.json"}</w:instrText>
      </w:r>
      <w:r w:rsidR="0003760A">
        <w:rPr>
          <w:b w:val="0"/>
          <w:bCs/>
        </w:rPr>
        <w:fldChar w:fldCharType="separate"/>
      </w:r>
      <w:r w:rsidR="0003760A" w:rsidRPr="0003760A">
        <w:rPr>
          <w:b w:val="0"/>
          <w:bCs/>
          <w:noProof/>
        </w:rPr>
        <w:t>[20,21]</w:t>
      </w:r>
      <w:r w:rsidR="0003760A">
        <w:rPr>
          <w:b w:val="0"/>
          <w:bCs/>
        </w:rPr>
        <w:fldChar w:fldCharType="end"/>
      </w:r>
      <w:r w:rsidRPr="00967143">
        <w:rPr>
          <w:b w:val="0"/>
          <w:bCs/>
        </w:rPr>
        <w:t xml:space="preserve"> Given </w:t>
      </w:r>
      <w:r w:rsidRPr="0032470E">
        <w:rPr>
          <w:i/>
          <w:iCs/>
        </w:rPr>
        <w:t>X</w:t>
      </w:r>
      <w:r w:rsidRPr="0032470E">
        <w:rPr>
          <w:b w:val="0"/>
          <w:bCs/>
          <w:i/>
          <w:iCs/>
          <w:vertAlign w:val="subscript"/>
        </w:rPr>
        <w:t>i</w:t>
      </w:r>
      <w:r w:rsidR="0032470E">
        <w:rPr>
          <w:b w:val="0"/>
          <w:bCs/>
        </w:rPr>
        <w:t xml:space="preserve"> </w:t>
      </w:r>
      <w:r w:rsidRPr="00967143">
        <w:rPr>
          <w:b w:val="0"/>
          <w:bCs/>
        </w:rPr>
        <w:t>=</w:t>
      </w:r>
      <w:r w:rsidR="0032470E">
        <w:rPr>
          <w:b w:val="0"/>
          <w:bCs/>
        </w:rPr>
        <w:t xml:space="preserve"> </w:t>
      </w:r>
      <w:r w:rsidRPr="0032470E">
        <w:rPr>
          <w:b w:val="0"/>
          <w:bCs/>
          <w:i/>
          <w:iCs/>
        </w:rPr>
        <w:t>x</w:t>
      </w:r>
      <w:r w:rsidRPr="00967143">
        <w:rPr>
          <w:b w:val="0"/>
          <w:bCs/>
        </w:rPr>
        <w:t xml:space="preserve">, the ITE </w:t>
      </w:r>
      <m:oMath>
        <m:r>
          <m:rPr>
            <m:sty m:val="p"/>
          </m:rPr>
          <w:rPr>
            <w:rFonts w:ascii="Cambria Math" w:hAnsi="Cambria Math"/>
          </w:rPr>
          <m:t>τ</m:t>
        </m:r>
        <m:d>
          <m:dPr>
            <m:ctrlPr>
              <w:rPr>
                <w:rFonts w:ascii="Cambria Math" w:hAnsi="Cambria Math"/>
                <w:b w:val="0"/>
                <w:bCs/>
                <w:i/>
              </w:rPr>
            </m:ctrlPr>
          </m:dPr>
          <m:e>
            <m:r>
              <w:rPr>
                <w:rFonts w:ascii="Cambria Math" w:hAnsi="Cambria Math"/>
              </w:rPr>
              <m:t>x</m:t>
            </m:r>
          </m:e>
        </m:d>
      </m:oMath>
      <w:r w:rsidRPr="00967143">
        <w:rPr>
          <w:b w:val="0"/>
          <w:bCs/>
        </w:rPr>
        <w:t xml:space="preserve"> is defined as the difference in the mean potential outcomes for the individual </w:t>
      </w:r>
      <m:oMath>
        <m:r>
          <w:rPr>
            <w:rFonts w:ascii="Cambria Math" w:hAnsi="Cambria Math"/>
          </w:rPr>
          <m:t>i</m:t>
        </m:r>
        <m:r>
          <w:rPr>
            <w:rFonts w:ascii="Cambria Math" w:hAnsi="Cambria Math"/>
          </w:rPr>
          <m:t xml:space="preserve"> </m:t>
        </m:r>
      </m:oMath>
      <w:r w:rsidRPr="00967143">
        <w:rPr>
          <w:b w:val="0"/>
          <w:bCs/>
        </w:rPr>
        <w:t xml:space="preserve">under both treatments, conditional on the observed covariate vector </w:t>
      </w:r>
      <m:oMath>
        <m:r>
          <m:rPr>
            <m:sty m:val="bi"/>
          </m:rPr>
          <w:rPr>
            <w:rFonts w:ascii="Cambria Math" w:hAnsi="Cambria Math"/>
          </w:rPr>
          <m:t>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566"/>
        <w:gridCol w:w="450"/>
      </w:tblGrid>
      <w:tr w:rsidR="001C6DD7" w14:paraId="6458749E" w14:textId="77777777" w:rsidTr="00F31EA2">
        <w:trPr>
          <w:trHeight w:val="858"/>
        </w:trPr>
        <w:tc>
          <w:tcPr>
            <w:tcW w:w="261" w:type="dxa"/>
          </w:tcPr>
          <w:p w14:paraId="4CB8C04E" w14:textId="77777777" w:rsidR="001C6DD7" w:rsidRDefault="001C6DD7" w:rsidP="009C43D4">
            <w:pPr>
              <w:spacing w:line="480" w:lineRule="auto"/>
              <w:jc w:val="center"/>
              <w:rPr>
                <w:sz w:val="20"/>
                <w:szCs w:val="20"/>
              </w:rPr>
            </w:pPr>
          </w:p>
        </w:tc>
        <w:tc>
          <w:tcPr>
            <w:tcW w:w="8566" w:type="dxa"/>
            <w:vAlign w:val="bottom"/>
          </w:tcPr>
          <w:p w14:paraId="66B64F58" w14:textId="6F056351" w:rsidR="001C6DD7" w:rsidRPr="00D6161D" w:rsidRDefault="00837B7B" w:rsidP="00D6161D">
            <w:pPr>
              <w:spacing w:line="480" w:lineRule="auto"/>
              <w:rPr>
                <w:iCs/>
                <w:sz w:val="20"/>
                <w:szCs w:val="20"/>
              </w:rPr>
            </w:pPr>
            <m:oMathPara>
              <m:oMath>
                <m:r>
                  <m:rPr>
                    <m:sty m:val="p"/>
                  </m:rPr>
                  <w:rPr>
                    <w:rFonts w:ascii="Cambria Math" w:hAnsi="Cambria Math"/>
                    <w:sz w:val="20"/>
                    <w:szCs w:val="20"/>
                  </w:rPr>
                  <m:t>τ</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r>
                  <m:rPr>
                    <m:sty m:val="bi"/>
                  </m:rPr>
                  <w:rPr>
                    <w:rFonts w:ascii="Cambria Math" w:hAnsi="Cambria Math"/>
                    <w:sz w:val="20"/>
                    <w:szCs w:val="20"/>
                  </w:rPr>
                  <m:t>E</m:t>
                </m:r>
                <m:d>
                  <m:dPr>
                    <m:begChr m:val="["/>
                    <m:sepChr m:val="∣"/>
                    <m:endChr m:val="]"/>
                    <m:ctrlPr>
                      <w:rPr>
                        <w:rFonts w:ascii="Cambria Math" w:hAnsi="Cambria Math"/>
                        <w:i/>
                        <w:iCs/>
                        <w:sz w:val="20"/>
                        <w:szCs w:val="20"/>
                      </w:rPr>
                    </m:ctrlPr>
                  </m:dPr>
                  <m:e>
                    <m:sSubSup>
                      <m:sSubSupPr>
                        <m:ctrlPr>
                          <w:rPr>
                            <w:rFonts w:ascii="Cambria Math" w:hAnsi="Cambria Math"/>
                            <w:i/>
                            <w:iCs/>
                            <w:sz w:val="20"/>
                            <w:szCs w:val="20"/>
                          </w:rPr>
                        </m:ctrlPr>
                      </m:sSubSupPr>
                      <m:e>
                        <m:r>
                          <w:rPr>
                            <w:rFonts w:ascii="Cambria Math" w:hAnsi="Cambria Math"/>
                            <w:sz w:val="20"/>
                            <w:szCs w:val="20"/>
                          </w:rPr>
                          <m:t>Y</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iCs/>
                            <w:sz w:val="20"/>
                            <w:szCs w:val="20"/>
                          </w:rPr>
                        </m:ctrlPr>
                      </m:sSubSupPr>
                      <m:e>
                        <m:r>
                          <w:rPr>
                            <w:rFonts w:ascii="Cambria Math" w:hAnsi="Cambria Math"/>
                            <w:sz w:val="20"/>
                            <w:szCs w:val="20"/>
                          </w:rPr>
                          <m:t>Y</m:t>
                        </m:r>
                      </m:e>
                      <m:sub>
                        <m:r>
                          <w:rPr>
                            <w:rFonts w:ascii="Cambria Math" w:hAnsi="Cambria Math"/>
                            <w:sz w:val="20"/>
                            <w:szCs w:val="20"/>
                          </w:rPr>
                          <m:t>i</m:t>
                        </m:r>
                      </m:sub>
                      <m:sup>
                        <m:r>
                          <w:rPr>
                            <w:rFonts w:ascii="Cambria Math" w:hAnsi="Cambria Math"/>
                            <w:sz w:val="20"/>
                            <w:szCs w:val="20"/>
                          </w:rPr>
                          <m:t>0</m:t>
                        </m:r>
                      </m:sup>
                    </m:sSubSup>
                    <m:ctrlPr>
                      <w:rPr>
                        <w:rFonts w:ascii="Cambria Math" w:hAnsi="Cambria Math"/>
                        <w:iCs/>
                        <w:sz w:val="20"/>
                        <w:szCs w:val="20"/>
                      </w:rPr>
                    </m:ctrlP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=x</m:t>
                    </m:r>
                  </m:e>
                </m:d>
              </m:oMath>
            </m:oMathPara>
          </w:p>
          <w:p w14:paraId="7B0EC918" w14:textId="77777777" w:rsidR="001C6DD7" w:rsidRDefault="001C6DD7" w:rsidP="00D6161D">
            <w:pPr>
              <w:spacing w:line="480" w:lineRule="auto"/>
              <w:rPr>
                <w:sz w:val="20"/>
                <w:szCs w:val="20"/>
              </w:rPr>
            </w:pPr>
          </w:p>
        </w:tc>
        <w:tc>
          <w:tcPr>
            <w:tcW w:w="450" w:type="dxa"/>
          </w:tcPr>
          <w:p w14:paraId="01458DAA" w14:textId="0A4A9475" w:rsidR="001C6DD7" w:rsidRDefault="001C6DD7" w:rsidP="009C43D4">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2</w:t>
            </w:r>
            <w:r>
              <w:rPr>
                <w:sz w:val="20"/>
                <w:szCs w:val="20"/>
              </w:rPr>
              <w:fldChar w:fldCharType="end"/>
            </w:r>
            <w:r>
              <w:rPr>
                <w:sz w:val="20"/>
                <w:szCs w:val="20"/>
              </w:rPr>
              <w:t>)</w:t>
            </w:r>
          </w:p>
        </w:tc>
      </w:tr>
    </w:tbl>
    <w:p w14:paraId="758A56DE" w14:textId="2E7536FB" w:rsidR="00D6161D" w:rsidRDefault="00F31EA2" w:rsidP="00ED147C">
      <w:pPr>
        <w:pStyle w:val="AMIAHeading"/>
        <w:spacing w:line="480" w:lineRule="auto"/>
        <w:jc w:val="left"/>
        <w:rPr>
          <w:b w:val="0"/>
          <w:bCs/>
        </w:rPr>
      </w:pPr>
      <w:r w:rsidRPr="00346299">
        <w:rPr>
          <w:b w:val="0"/>
          <w:bCs/>
        </w:rPr>
        <w:t xml:space="preserve">The ITE formulation as </w:t>
      </w:r>
      <m:oMath>
        <m:r>
          <m:rPr>
            <m:sty m:val="p"/>
          </m:rPr>
          <w:rPr>
            <w:rFonts w:ascii="Cambria Math" w:hAnsi="Cambria Math"/>
          </w:rPr>
          <m:t>τ</m:t>
        </m:r>
        <m:d>
          <m:dPr>
            <m:ctrlPr>
              <w:rPr>
                <w:rFonts w:ascii="Cambria Math" w:hAnsi="Cambria Math"/>
                <w:b w:val="0"/>
                <w:bCs/>
                <w:i/>
              </w:rPr>
            </m:ctrlPr>
          </m:dPr>
          <m:e>
            <m:r>
              <w:rPr>
                <w:rFonts w:ascii="Cambria Math" w:hAnsi="Cambria Math"/>
              </w:rPr>
              <m:t>x</m:t>
            </m:r>
          </m:e>
        </m:d>
        <m:r>
          <w:rPr>
            <w:rFonts w:ascii="Cambria Math" w:hAnsi="Cambria Math"/>
          </w:rPr>
          <m:t xml:space="preserve"> –</m:t>
        </m:r>
      </m:oMath>
      <w:r w:rsidR="00DD3C51">
        <w:rPr>
          <w:b w:val="0"/>
          <w:bCs/>
        </w:rPr>
        <w:t xml:space="preserve"> </w:t>
      </w:r>
      <w:r w:rsidRPr="00346299">
        <w:rPr>
          <w:b w:val="0"/>
          <w:bCs/>
        </w:rPr>
        <w:t>called the counterfactual framework</w:t>
      </w:r>
      <w:r w:rsidR="00AC6721">
        <w:rPr>
          <w:b w:val="0"/>
          <w:bCs/>
        </w:rPr>
        <w:t xml:space="preserve"> </w:t>
      </w:r>
      <m:oMath>
        <m:r>
          <w:rPr>
            <w:rFonts w:ascii="Cambria Math" w:hAnsi="Cambria Math"/>
          </w:rPr>
          <m:t>–</m:t>
        </m:r>
      </m:oMath>
      <w:r w:rsidR="00AC6721">
        <w:rPr>
          <w:b w:val="0"/>
          <w:bCs/>
        </w:rPr>
        <w:t xml:space="preserve"> </w:t>
      </w:r>
      <w:r w:rsidRPr="00346299">
        <w:rPr>
          <w:b w:val="0"/>
          <w:bCs/>
        </w:rPr>
        <w:t xml:space="preserve">is usually incalculable in reality, since people cannot be assigned two different treatments at the same time. However, under the assumption of strongly ignorable treatment assignment (SITA), the potential outcomes are independent of treatment conditional on background variables, i.e. </w:t>
      </w:r>
      <m:oMath>
        <m:sSubSup>
          <m:sSubSupPr>
            <m:ctrlPr>
              <w:rPr>
                <w:rFonts w:ascii="Cambria Math" w:hAnsi="Cambria Math"/>
                <w:b w:val="0"/>
                <w:bCs/>
                <w:i/>
              </w:rPr>
            </m:ctrlPr>
          </m:sSubSupPr>
          <m:e>
            <m:r>
              <w:rPr>
                <w:rFonts w:ascii="Cambria Math" w:hAnsi="Cambria Math"/>
              </w:rPr>
              <m:t>{</m:t>
            </m:r>
            <m:r>
              <w:rPr>
                <w:rFonts w:ascii="Cambria Math" w:hAnsi="Cambria Math"/>
              </w:rPr>
              <m:t>Y</m:t>
            </m:r>
          </m:e>
          <m:sub>
            <m:r>
              <w:rPr>
                <w:rFonts w:ascii="Cambria Math" w:hAnsi="Cambria Math"/>
              </w:rPr>
              <m:t>i</m:t>
            </m:r>
          </m:sub>
          <m:sup>
            <m:r>
              <w:rPr>
                <w:rFonts w:ascii="Cambria Math" w:hAnsi="Cambria Math"/>
              </w:rPr>
              <m:t>1</m:t>
            </m:r>
          </m:sup>
        </m:sSubSup>
        <m:sSubSup>
          <m:sSubSupPr>
            <m:ctrlPr>
              <w:rPr>
                <w:rFonts w:ascii="Cambria Math" w:hAnsi="Cambria Math"/>
                <w:b w:val="0"/>
                <w:bCs/>
                <w:i/>
              </w:rPr>
            </m:ctrlPr>
          </m:sSubSupPr>
          <m:e>
            <m:r>
              <w:rPr>
                <w:rFonts w:ascii="Cambria Math" w:hAnsi="Cambria Math"/>
              </w:rPr>
              <m:t>Y</m:t>
            </m:r>
          </m:e>
          <m:sub>
            <m:r>
              <w:rPr>
                <w:rFonts w:ascii="Cambria Math" w:hAnsi="Cambria Math"/>
              </w:rPr>
              <m:t>i</m:t>
            </m:r>
          </m:sub>
          <m:sup>
            <m:r>
              <w:rPr>
                <w:rFonts w:ascii="Cambria Math" w:hAnsi="Cambria Math"/>
              </w:rPr>
              <m:t>0</m:t>
            </m:r>
            <m:r>
              <w:rPr>
                <w:rFonts w:ascii="Cambria Math" w:hAnsi="Cambria Math"/>
              </w:rPr>
              <m:t xml:space="preserve"> </m:t>
            </m:r>
          </m:sup>
        </m:sSubSup>
        <m:r>
          <m:rPr>
            <m:sty m:val="p"/>
          </m:rPr>
          <w:rPr>
            <w:rFonts w:ascii="Cambria Math" w:hAnsi="Cambria Math"/>
          </w:rPr>
          <m:t>}</m:t>
        </m:r>
        <m:r>
          <m:rPr>
            <m:sty m:val="p"/>
          </m:rPr>
          <w:rPr>
            <w:rFonts w:ascii="Cambria Math" w:hAnsi="Cambria Math"/>
          </w:rPr>
          <m:t>⊥</m:t>
        </m:r>
        <m:r>
          <m:rPr>
            <m:sty m:val="p"/>
          </m:rPr>
          <w:rPr>
            <w:rFonts w:ascii="Cambria Math" w:hAnsi="Cambria Math"/>
          </w:rPr>
          <m:t>T∣</m:t>
        </m:r>
        <m:r>
          <m:rPr>
            <m:sty m:val="b"/>
          </m:rPr>
          <w:rPr>
            <w:rFonts w:ascii="Cambria Math" w:hAnsi="Cambria Math"/>
          </w:rPr>
          <m:t>X</m:t>
        </m:r>
      </m:oMath>
      <w:r w:rsidR="005506B9" w:rsidRPr="00304CBE">
        <w:rPr>
          <w:b w:val="0"/>
          <w:bCs/>
        </w:rPr>
        <w:t>.</w:t>
      </w:r>
      <w:r w:rsidR="007C2B01">
        <w:rPr>
          <w:b w:val="0"/>
          <w:bCs/>
        </w:rPr>
        <w:fldChar w:fldCharType="begin" w:fldLock="1"/>
      </w:r>
      <w:r w:rsidR="00E11AAE">
        <w:rPr>
          <w:b w:val="0"/>
          <w:bCs/>
        </w:rPr>
        <w:instrText>ADDIN CSL_CITATION {"citationItems":[{"id":"ITEM-1","itemData":{"DOI":"10.1093/biomet/87.3.706","ISSN":"00063444","abstract":"Estimation of average treatment effects in observational studies often requires adjustment for differences in pre-treatment variables. If the number of pre-treatment variables is large, standard covariance adjustment methods are often inadequate. Rosenbaum &amp; Rubin (1983) propose an alternative method for adjusting for pre-treatment variables for the binary treatment case based on the so-called propensity score. Here an extension of the propensity score methodology is proposed that allows for estimation of average casual effects with multi-valued treatments. © 2000 Biometrika Trust.","author":[{"dropping-particle":"","family":"Imbens","given":"Guido W.","non-dropping-particle":"","parse-names":false,"suffix":""}],"container-title":"Biometrika","id":"ITEM-1","issued":{"date-parts":[["2000"]]},"title":"The role of the propensity score in estimating dose-response functions","type":"article-journal"},"uris":["http://www.mendeley.com/documents/?uuid=58a8c36c-be2a-4e03-b4de-1e417310bce7"]},{"id":"ITEM-2","itemData":{"DOI":"10.1007/978-3-642-57615-7_3","abstract":"The assumption that the assignment to treatments is ignorable conditional on attributes plays an important role in the applied statistic and econometric evaluation literature. Another term for it is conditional independence assumption. This paper discusses identification when there are more than two types of mutually exclusive treatments. It turns out that low dimensional balancing scores, similar to the ones valid in the case of only two treatments, exist and be used for identification of various causal effects. Therefore, a comparable reduction of the dimension of the estimation problem is achieved and the approach retains its basic simplicity. The paper also outlines a matching estimator potentially suitable in that framework.","author":[{"dropping-particle":"","family":"Lechner","given":"Michael","non-dropping-particle":"","parse-names":false,"suffix":""}],"id":"ITEM-2","issued":{"date-parts":[["2001"]]},"title":"Identification and estimation of causal effects of multiple treatments under the conditional independence assumption","type":"chapter"},"uris":["http://www.mendeley.com/documents/?uuid=21132f24-c26c-42d7-bb07-02b88daf221e"]},{"id":"ITEM-3","itemData":{"abstract":"While driving home last night, I came to a fork in the road, where I had to make a choice: to take the freeway (X = 1) or go on a surface street named Sepulveda Boulevard (X = 0). I took Sepulveda, only to find out that the traffic was touch and go. As I arrived home, an hour later, I said to myself: \"Gee, I should have taken the freeway.\" What does it mean to say, \"I should have taken the freeway\"? Colloquially, it means, \"If I had taken the freeway, I would have gotten home earlier.\" Scientifically, it means that my mental estimate of the expected driving time on the freeway, on that same day, under the identical circumstances, and governed by the same idiosyncratic driving habits that I have, would have been lower than my actual driving time. This kind of statement-an \"if\" statement in which the \"if\" portion is untrue or unrealized-is known as a counterfactual. The \"if\" portion of a counterfactual is called the hypothetical condition, or more often, the antecedent. We use counterfactuals to emphasize our wish to compare two outcomes (e.g., driving times) under the exact same conditions, differing only in one aspect: the antecedent, which in our case stands for \"taking the freeway\" as opposed to the surface street. The fact that we know the outcome of our actual decision is important, because my estimated driving time on the freeway after seeing the consequences of my actual decision (to take Sepulveda) may be totally different from my estimate prior to seeing the consequence. The consequence (1 hour) may provide valuable evidence for the assessment, for example, that the traffic was particularly heavy on that day, and that it might have been due to a brush fire. My statement \"I should have taken the freeway\" conveys the judgment that whatever mechanisms impeded my speed on Sepulveda would not have affected the speed on the freeway to the same extent. My retrospective estimate is that a freeway drive would have taken less than 1 hour, and this estimate is clearly different than my prospective estimate was, when I made the decision prior to seeing the consequences-otherwise, I would have taken the freeway to begin with.","author":[{"dropping-particle":"","family":"Pearl","given":"Judea","non-dropping-particle":"","parse-names":false,"suffix":""},{"dropping-particle":"","family":"Glymour","given":"Madeleyn","non-dropping-particle":"","parse-names":false,"suffix":""},{"dropping-particle":"","family":"Jewell","given":"Nicholas P","non-dropping-particle":"","parse-names":false,"suffix":""}],"container-title":"Causal Inference in Statistics: A Primer","id":"ITEM-3","issued":{"date-parts":[["2016"]]},"title":"Counterfactuals and their applications","type":"article-journal"},"uris":["http://www.mendeley.com/documents/?uuid=07687e5d-a4d4-4f0b-b1d2-6d3bace76b61"]},{"id":"ITEM-4","itemData":{"author":[{"dropping-particle":"","family":"Janzing","given":"Dominik","non-dropping-particle":"","parse-names":false,"suffix":""},{"dropping-particle":"","family":"Schölkopf","given":"Bernhard","non-dropping-particle":"","parse-names":false,"suffix":""}],"id":"ITEM-4","issued":{"date-parts":[["0"]]},"title":"Elements of Causal Inference Foundations and Learning Algorithms","type":"report"},"uris":["http://www.mendeley.com/documents/?uuid=ce55e6a9-bb0b-3114-953c-a2e8baf436b3"]}],"mendeley":{"formattedCitation":"[5,22–24]","plainTextFormattedCitation":"[5,22–24]","previouslyFormattedCitation":"[5,22–24]"},"properties":{"noteIndex":0},"schema":"https://github.com/citation-style-language/schema/raw/master/csl-citation.json"}</w:instrText>
      </w:r>
      <w:r w:rsidR="007C2B01">
        <w:rPr>
          <w:b w:val="0"/>
          <w:bCs/>
        </w:rPr>
        <w:fldChar w:fldCharType="separate"/>
      </w:r>
      <w:r w:rsidR="000D3BC7" w:rsidRPr="000D3BC7">
        <w:rPr>
          <w:b w:val="0"/>
          <w:bCs/>
          <w:noProof/>
        </w:rPr>
        <w:t>[5,22–24]</w:t>
      </w:r>
      <w:r w:rsidR="007C2B01">
        <w:rPr>
          <w:b w:val="0"/>
          <w:bCs/>
        </w:rPr>
        <w:fldChar w:fldCharType="end"/>
      </w:r>
      <w:r w:rsidRPr="00346299">
        <w:rPr>
          <w:b w:val="0"/>
          <w:bCs/>
        </w:rPr>
        <w:t xml:space="preserve"> Under the assumption of SITA, the ITE can then be calculated as</w:t>
      </w:r>
    </w:p>
    <w:p w14:paraId="3D3C5483" w14:textId="1F530C16" w:rsidR="00073FF9" w:rsidRPr="00F02593" w:rsidRDefault="00F81AE9" w:rsidP="00ED147C">
      <w:pPr>
        <w:pStyle w:val="AMIAHeading"/>
        <w:spacing w:line="480" w:lineRule="auto"/>
        <w:jc w:val="left"/>
        <w:rPr>
          <w:b w:val="0"/>
          <w:bCs/>
        </w:rPr>
      </w:pPr>
      <m:oMathPara>
        <m:oMath>
          <m:r>
            <m:rPr>
              <m:sty m:val="p"/>
            </m:rPr>
            <w:rPr>
              <w:rFonts w:ascii="Cambria Math" w:hAnsi="Cambria Math"/>
            </w:rPr>
            <m:t>τ</m:t>
          </m:r>
          <m:d>
            <m:dPr>
              <m:ctrlPr>
                <w:rPr>
                  <w:rFonts w:ascii="Cambria Math" w:hAnsi="Cambria Math"/>
                  <w:b w:val="0"/>
                  <w:bCs/>
                  <w:i/>
                </w:rPr>
              </m:ctrlPr>
            </m:dPr>
            <m:e>
              <m:r>
                <m:rPr>
                  <m:sty m:val="bi"/>
                </m:rPr>
                <w:rPr>
                  <w:rFonts w:ascii="Cambria Math" w:hAnsi="Cambria Math"/>
                </w:rPr>
                <m:t>x</m:t>
              </m:r>
            </m:e>
          </m:d>
          <m:r>
            <w:rPr>
              <w:rFonts w:ascii="Cambria Math" w:hAnsi="Cambria Math"/>
            </w:rPr>
            <m:t>=</m:t>
          </m:r>
          <m:r>
            <m:rPr>
              <m:sty m:val="bi"/>
            </m:rPr>
            <w:rPr>
              <w:rFonts w:ascii="Cambria Math" w:hAnsi="Cambria Math"/>
            </w:rPr>
            <m:t>E</m:t>
          </m:r>
          <m:d>
            <m:dPr>
              <m:begChr m:val="["/>
              <m:sepChr m:val="∣"/>
              <m:endChr m:val="]"/>
              <m:ctrlPr>
                <w:rPr>
                  <w:rFonts w:ascii="Cambria Math" w:hAnsi="Cambria Math"/>
                  <w:b w:val="0"/>
                  <w:bCs/>
                  <w:i/>
                </w:rPr>
              </m:ctrlPr>
            </m:dPr>
            <m:e>
              <m:sSup>
                <m:sSupPr>
                  <m:ctrlPr>
                    <w:rPr>
                      <w:rFonts w:ascii="Cambria Math" w:hAnsi="Cambria Math"/>
                      <w:b w:val="0"/>
                      <w:bCs/>
                      <w:i/>
                    </w:rPr>
                  </m:ctrlPr>
                </m:sSupPr>
                <m:e>
                  <m:r>
                    <w:rPr>
                      <w:rFonts w:ascii="Cambria Math" w:hAnsi="Cambria Math"/>
                    </w:rPr>
                    <m:t>Y</m:t>
                  </m:r>
                </m:e>
                <m:sup>
                  <m:r>
                    <w:rPr>
                      <w:rFonts w:ascii="Cambria Math" w:hAnsi="Cambria Math"/>
                    </w:rPr>
                    <m:t>1</m:t>
                  </m:r>
                </m:sup>
              </m:sSup>
              <m:ctrlPr>
                <w:rPr>
                  <w:rFonts w:ascii="Cambria Math" w:hAnsi="Cambria Math"/>
                  <w:b w:val="0"/>
                  <w:bCs/>
                </w:rPr>
              </m:ctrlPr>
            </m:e>
            <m:e>
              <m:r>
                <w:rPr>
                  <w:rFonts w:ascii="Cambria Math" w:hAnsi="Cambria Math"/>
                </w:rPr>
                <m:t>T=1,</m:t>
              </m:r>
              <m:r>
                <m:rPr>
                  <m:sty m:val="bi"/>
                </m:rPr>
                <w:rPr>
                  <w:rFonts w:ascii="Cambria Math" w:hAnsi="Cambria Math"/>
                </w:rPr>
                <m:t>X</m:t>
              </m:r>
              <m:r>
                <m:rPr>
                  <m:sty m:val="bi"/>
                </m:rPr>
                <w:rPr>
                  <w:rFonts w:ascii="Cambria Math" w:hAnsi="Cambria Math"/>
                </w:rPr>
                <m:t xml:space="preserve"> = </m:t>
              </m:r>
              <m:r>
                <m:rPr>
                  <m:sty m:val="bi"/>
                </m:rPr>
                <w:rPr>
                  <w:rFonts w:ascii="Cambria Math" w:hAnsi="Cambria Math"/>
                </w:rPr>
                <m:t>x</m:t>
              </m:r>
            </m:e>
          </m:d>
          <m:r>
            <w:rPr>
              <w:rFonts w:ascii="Cambria Math" w:hAnsi="Cambria Math"/>
            </w:rPr>
            <m:t>-</m:t>
          </m:r>
          <m:r>
            <m:rPr>
              <m:sty m:val="bi"/>
            </m:rPr>
            <w:rPr>
              <w:rFonts w:ascii="Cambria Math" w:hAnsi="Cambria Math"/>
            </w:rPr>
            <m:t>E</m:t>
          </m:r>
          <m:d>
            <m:dPr>
              <m:begChr m:val="["/>
              <m:sepChr m:val="∣"/>
              <m:endChr m:val="]"/>
              <m:ctrlPr>
                <w:rPr>
                  <w:rFonts w:ascii="Cambria Math" w:hAnsi="Cambria Math"/>
                  <w:b w:val="0"/>
                  <w:bCs/>
                  <w:i/>
                </w:rPr>
              </m:ctrlPr>
            </m:dPr>
            <m:e>
              <m:sSup>
                <m:sSupPr>
                  <m:ctrlPr>
                    <w:rPr>
                      <w:rFonts w:ascii="Cambria Math" w:hAnsi="Cambria Math"/>
                      <w:b w:val="0"/>
                      <w:bCs/>
                      <w:i/>
                    </w:rPr>
                  </m:ctrlPr>
                </m:sSupPr>
                <m:e>
                  <m:r>
                    <w:rPr>
                      <w:rFonts w:ascii="Cambria Math" w:hAnsi="Cambria Math"/>
                    </w:rPr>
                    <m:t>Y</m:t>
                  </m:r>
                </m:e>
                <m:sup>
                  <m:r>
                    <w:rPr>
                      <w:rFonts w:ascii="Cambria Math" w:hAnsi="Cambria Math"/>
                    </w:rPr>
                    <m:t>0</m:t>
                  </m:r>
                </m:sup>
              </m:sSup>
              <m:ctrlPr>
                <w:rPr>
                  <w:rFonts w:ascii="Cambria Math" w:hAnsi="Cambria Math"/>
                  <w:b w:val="0"/>
                  <w:bCs/>
                </w:rPr>
              </m:ctrlPr>
            </m:e>
            <m:e>
              <m:r>
                <w:rPr>
                  <w:rFonts w:ascii="Cambria Math" w:hAnsi="Cambria Math"/>
                </w:rPr>
                <m:t>T=</m:t>
              </m:r>
              <m:r>
                <w:rPr>
                  <w:rFonts w:ascii="Cambria Math" w:hAnsi="Cambria Math"/>
                </w:rPr>
                <m:t>0</m:t>
              </m:r>
              <m:r>
                <w:rPr>
                  <w:rFonts w:ascii="Cambria Math" w:hAnsi="Cambria Math"/>
                </w:rPr>
                <m:t>,</m:t>
              </m:r>
              <m:r>
                <m:rPr>
                  <m:sty m:val="bi"/>
                </m:rPr>
                <w:rPr>
                  <w:rFonts w:ascii="Cambria Math" w:hAnsi="Cambria Math"/>
                </w:rPr>
                <m:t>X</m:t>
              </m:r>
              <m:r>
                <m:rPr>
                  <m:sty m:val="bi"/>
                </m:rPr>
                <w:rPr>
                  <w:rFonts w:ascii="Cambria Math" w:hAnsi="Cambria Math"/>
                </w:rPr>
                <m:t xml:space="preserve"> = </m:t>
              </m:r>
              <m:r>
                <m:rPr>
                  <m:sty m:val="bi"/>
                </m:rPr>
                <w:rPr>
                  <w:rFonts w:ascii="Cambria Math" w:hAnsi="Cambria Math"/>
                </w:rPr>
                <m:t>x</m:t>
              </m:r>
            </m:e>
          </m:d>
          <m:r>
            <w:rPr>
              <w:rFonts w:ascii="Cambria Math" w:hAnsi="Cambria Math"/>
            </w:rPr>
            <m:t>=</m:t>
          </m:r>
          <m:r>
            <m:rPr>
              <m:sty m:val="bi"/>
            </m:rPr>
            <w:rPr>
              <w:rFonts w:ascii="Cambria Math" w:hAnsi="Cambria Math"/>
            </w:rPr>
            <m:t>E</m:t>
          </m:r>
          <m:d>
            <m:dPr>
              <m:begChr m:val="["/>
              <m:sepChr m:val="∣"/>
              <m:endChr m:val="]"/>
              <m:ctrlPr>
                <w:rPr>
                  <w:rFonts w:ascii="Cambria Math" w:hAnsi="Cambria Math"/>
                  <w:b w:val="0"/>
                  <w:bCs/>
                  <w:i/>
                </w:rPr>
              </m:ctrlPr>
            </m:dPr>
            <m:e>
              <m:r>
                <w:rPr>
                  <w:rFonts w:ascii="Cambria Math" w:hAnsi="Cambria Math"/>
                </w:rPr>
                <m:t>Y</m:t>
              </m:r>
              <m:ctrlPr>
                <w:rPr>
                  <w:rFonts w:ascii="Cambria Math" w:hAnsi="Cambria Math"/>
                  <w:b w:val="0"/>
                  <w:bCs/>
                </w:rPr>
              </m:ctrlPr>
            </m:e>
            <m:e>
              <m:r>
                <w:rPr>
                  <w:rFonts w:ascii="Cambria Math" w:hAnsi="Cambria Math"/>
                </w:rPr>
                <m:t>T=1,</m:t>
              </m:r>
              <m:r>
                <m:rPr>
                  <m:sty m:val="bi"/>
                </m:rPr>
                <w:rPr>
                  <w:rFonts w:ascii="Cambria Math" w:hAnsi="Cambria Math"/>
                </w:rPr>
                <m:t>X</m:t>
              </m:r>
              <m:r>
                <m:rPr>
                  <m:sty m:val="bi"/>
                </m:rPr>
                <w:rPr>
                  <w:rFonts w:ascii="Cambria Math" w:hAnsi="Cambria Math"/>
                </w:rPr>
                <m:t>=</m:t>
              </m:r>
              <m:r>
                <m:rPr>
                  <m:sty m:val="bi"/>
                </m:rPr>
                <w:rPr>
                  <w:rFonts w:ascii="Cambria Math" w:hAnsi="Cambria Math"/>
                </w:rPr>
                <m:t>x</m:t>
              </m:r>
            </m:e>
          </m:d>
          <m:r>
            <w:rPr>
              <w:rFonts w:ascii="Cambria Math" w:hAnsi="Cambria Math"/>
            </w:rPr>
            <m:t>-</m:t>
          </m:r>
          <m:r>
            <m:rPr>
              <m:sty m:val="bi"/>
            </m:rPr>
            <w:rPr>
              <w:rFonts w:ascii="Cambria Math" w:hAnsi="Cambria Math"/>
            </w:rPr>
            <m:t>E</m:t>
          </m:r>
          <m:d>
            <m:dPr>
              <m:begChr m:val="["/>
              <m:sepChr m:val="∣"/>
              <m:endChr m:val="]"/>
              <m:ctrlPr>
                <w:rPr>
                  <w:rFonts w:ascii="Cambria Math" w:hAnsi="Cambria Math"/>
                  <w:b w:val="0"/>
                  <w:bCs/>
                  <w:i/>
                </w:rPr>
              </m:ctrlPr>
            </m:dPr>
            <m:e>
              <m:r>
                <w:rPr>
                  <w:rFonts w:ascii="Cambria Math" w:hAnsi="Cambria Math"/>
                </w:rPr>
                <m:t>Y</m:t>
              </m:r>
              <m:ctrlPr>
                <w:rPr>
                  <w:rFonts w:ascii="Cambria Math" w:hAnsi="Cambria Math"/>
                  <w:b w:val="0"/>
                  <w:bCs/>
                </w:rPr>
              </m:ctrlPr>
            </m:e>
            <m:e>
              <m:r>
                <w:rPr>
                  <w:rFonts w:ascii="Cambria Math" w:hAnsi="Cambria Math"/>
                </w:rPr>
                <m:t>T=</m:t>
              </m:r>
              <m:r>
                <w:rPr>
                  <w:rFonts w:ascii="Cambria Math" w:hAnsi="Cambria Math"/>
                </w:rPr>
                <m:t>0</m:t>
              </m:r>
              <m:r>
                <w:rPr>
                  <w:rFonts w:ascii="Cambria Math" w:hAnsi="Cambria Math"/>
                </w:rPr>
                <m:t>,</m:t>
              </m:r>
              <m:r>
                <m:rPr>
                  <m:sty m:val="bi"/>
                </m:rPr>
                <w:rPr>
                  <w:rFonts w:ascii="Cambria Math" w:hAnsi="Cambria Math"/>
                </w:rPr>
                <m:t>X</m:t>
              </m:r>
              <m:r>
                <m:rPr>
                  <m:sty m:val="bi"/>
                </m:rPr>
                <w:rPr>
                  <w:rFonts w:ascii="Cambria Math" w:hAnsi="Cambria Math"/>
                </w:rPr>
                <m:t>=</m:t>
              </m:r>
              <m:r>
                <m:rPr>
                  <m:sty m:val="bi"/>
                </m:rPr>
                <w:rPr>
                  <w:rFonts w:ascii="Cambria Math" w:hAnsi="Cambria Math"/>
                </w:rPr>
                <m:t>x</m:t>
              </m:r>
            </m:e>
          </m:d>
        </m:oMath>
      </m:oMathPara>
    </w:p>
    <w:p w14:paraId="50035B51" w14:textId="33D35E29" w:rsidR="00F02593" w:rsidRDefault="00C377C8" w:rsidP="00ED147C">
      <w:pPr>
        <w:pStyle w:val="AMIAHeading"/>
        <w:spacing w:line="480" w:lineRule="auto"/>
        <w:jc w:val="left"/>
        <w:rPr>
          <w:b w:val="0"/>
          <w:bCs/>
        </w:rPr>
      </w:pPr>
      <w:r w:rsidRPr="00C377C8">
        <w:rPr>
          <w:b w:val="0"/>
          <w:bCs/>
        </w:rPr>
        <w:t xml:space="preserve">Further, under SITA and by averaging over the distribution of </w:t>
      </w:r>
      <m:oMath>
        <m:r>
          <w:rPr>
            <w:rFonts w:ascii="Cambria Math" w:hAnsi="Cambria Math"/>
          </w:rPr>
          <m:t>X</m:t>
        </m:r>
      </m:oMath>
      <w:r w:rsidR="00790A93" w:rsidRPr="00790A93">
        <w:rPr>
          <w:b w:val="0"/>
          <w:bCs/>
        </w:rPr>
        <w:t>,</w:t>
      </w:r>
      <w:r w:rsidRPr="00C377C8">
        <w:rPr>
          <w:b w:val="0"/>
          <w:bCs/>
        </w:rPr>
        <w:t xml:space="preserve"> the ATE </w:t>
      </w:r>
      <m:oMath>
        <m:sSub>
          <m:sSubPr>
            <m:ctrlPr>
              <w:rPr>
                <w:rFonts w:ascii="Cambria Math" w:hAnsi="Cambria Math"/>
                <w:b w:val="0"/>
                <w:bCs/>
                <w:i/>
              </w:rPr>
            </m:ctrlPr>
          </m:sSubPr>
          <m:e>
            <m:r>
              <m:rPr>
                <m:sty m:val="p"/>
              </m:rPr>
              <w:rPr>
                <w:rFonts w:ascii="Cambria Math" w:hAnsi="Cambria Math"/>
              </w:rPr>
              <m:t>τ</m:t>
            </m:r>
            <m:ctrlPr>
              <w:rPr>
                <w:rFonts w:ascii="Cambria Math" w:hAnsi="Cambria Math"/>
                <w:b w:val="0"/>
                <w:bCs/>
              </w:rPr>
            </m:ctrlPr>
          </m:e>
          <m:sub>
            <m:r>
              <w:rPr>
                <w:rFonts w:ascii="Cambria Math" w:hAnsi="Cambria Math"/>
              </w:rPr>
              <m:t>01</m:t>
            </m:r>
          </m:sub>
        </m:sSub>
      </m:oMath>
      <w:r w:rsidRPr="00C377C8">
        <w:rPr>
          <w:b w:val="0"/>
          <w:bCs/>
        </w:rPr>
        <w:t xml:space="preserve"> can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CB6A6B" w14:paraId="14F73727" w14:textId="77777777" w:rsidTr="00114B88">
        <w:trPr>
          <w:trHeight w:val="674"/>
        </w:trPr>
        <w:tc>
          <w:tcPr>
            <w:tcW w:w="1075" w:type="dxa"/>
          </w:tcPr>
          <w:p w14:paraId="58AACF44" w14:textId="77777777" w:rsidR="00CB6A6B" w:rsidRDefault="00CB6A6B" w:rsidP="00114B88">
            <w:pPr>
              <w:spacing w:line="480" w:lineRule="auto"/>
              <w:jc w:val="center"/>
              <w:rPr>
                <w:sz w:val="20"/>
                <w:szCs w:val="20"/>
              </w:rPr>
            </w:pPr>
          </w:p>
        </w:tc>
        <w:tc>
          <w:tcPr>
            <w:tcW w:w="7110" w:type="dxa"/>
          </w:tcPr>
          <w:p w14:paraId="09AF1ADE" w14:textId="0B8B1306" w:rsidR="00CB6A6B" w:rsidRDefault="00DB5A40" w:rsidP="00114B88">
            <w:pPr>
              <w:spacing w:line="480" w:lineRule="auto"/>
              <w:jc w:val="center"/>
              <w:rPr>
                <w:sz w:val="20"/>
                <w:szCs w:val="20"/>
              </w:rPr>
            </w:pPr>
            <m:oMathPara>
              <m:oMath>
                <m:sSub>
                  <m:sSubPr>
                    <m:ctrlPr>
                      <w:rPr>
                        <w:rFonts w:ascii="Cambria Math" w:hAnsi="Cambria Math"/>
                        <w:i/>
                        <w:iCs/>
                        <w:sz w:val="20"/>
                        <w:szCs w:val="20"/>
                      </w:rPr>
                    </m:ctrlPr>
                  </m:sSubPr>
                  <m:e>
                    <m:r>
                      <m:rPr>
                        <m:sty m:val="p"/>
                      </m:rPr>
                      <w:rPr>
                        <w:rFonts w:ascii="Cambria Math" w:hAnsi="Cambria Math"/>
                        <w:sz w:val="20"/>
                        <w:szCs w:val="20"/>
                      </w:rPr>
                      <m:t>τ</m:t>
                    </m:r>
                    <m:ctrlPr>
                      <w:rPr>
                        <w:rFonts w:ascii="Cambria Math" w:hAnsi="Cambria Math"/>
                        <w:iCs/>
                        <w:sz w:val="20"/>
                        <w:szCs w:val="20"/>
                      </w:rPr>
                    </m:ctrlPr>
                  </m:e>
                  <m:sub>
                    <m:r>
                      <w:rPr>
                        <w:rFonts w:ascii="Cambria Math" w:hAnsi="Cambria Math"/>
                        <w:sz w:val="20"/>
                        <w:szCs w:val="20"/>
                      </w:rPr>
                      <m:t>01</m:t>
                    </m:r>
                  </m:sub>
                </m:sSub>
                <m:r>
                  <w:rPr>
                    <w:rFonts w:ascii="Cambria Math" w:hAnsi="Cambria Math"/>
                    <w:sz w:val="20"/>
                    <w:szCs w:val="20"/>
                  </w:rPr>
                  <m:t>=</m:t>
                </m:r>
                <m:r>
                  <m:rPr>
                    <m:sty m:val="bi"/>
                  </m:rPr>
                  <w:rPr>
                    <w:rFonts w:ascii="Cambria Math" w:hAnsi="Cambria Math"/>
                    <w:sz w:val="20"/>
                    <w:szCs w:val="20"/>
                  </w:rPr>
                  <m:t>E</m:t>
                </m:r>
                <m:d>
                  <m:dPr>
                    <m:begChr m:val="["/>
                    <m:endChr m:val="]"/>
                    <m:ctrlPr>
                      <w:rPr>
                        <w:rFonts w:ascii="Cambria Math" w:hAnsi="Cambria Math"/>
                        <w:i/>
                        <w:iCs/>
                        <w:sz w:val="20"/>
                        <w:szCs w:val="20"/>
                      </w:rPr>
                    </m:ctrlPr>
                  </m:dPr>
                  <m:e>
                    <m:r>
                      <m:rPr>
                        <m:sty m:val="p"/>
                      </m:rPr>
                      <w:rPr>
                        <w:rFonts w:ascii="Cambria Math" w:hAnsi="Cambria Math"/>
                        <w:sz w:val="20"/>
                        <w:szCs w:val="20"/>
                      </w:rPr>
                      <m:t>τ</m:t>
                    </m:r>
                    <m:d>
                      <m:dPr>
                        <m:ctrlPr>
                          <w:rPr>
                            <w:rFonts w:ascii="Cambria Math" w:hAnsi="Cambria Math"/>
                            <w:i/>
                            <w:iCs/>
                            <w:sz w:val="20"/>
                            <w:szCs w:val="20"/>
                          </w:rPr>
                        </m:ctrlPr>
                      </m:dPr>
                      <m:e>
                        <m:r>
                          <w:rPr>
                            <w:rFonts w:ascii="Cambria Math" w:hAnsi="Cambria Math"/>
                            <w:sz w:val="20"/>
                            <w:szCs w:val="20"/>
                          </w:rPr>
                          <m:t>X</m:t>
                        </m:r>
                      </m:e>
                    </m:d>
                  </m:e>
                </m:d>
                <m:r>
                  <w:rPr>
                    <w:rFonts w:ascii="Cambria Math" w:hAnsi="Cambria Math"/>
                    <w:sz w:val="20"/>
                    <w:szCs w:val="20"/>
                  </w:rPr>
                  <m:t>=</m:t>
                </m:r>
                <m:r>
                  <m:rPr>
                    <m:sty m:val="bi"/>
                  </m:rPr>
                  <w:rPr>
                    <w:rFonts w:ascii="Cambria Math" w:hAnsi="Cambria Math"/>
                    <w:sz w:val="20"/>
                    <w:szCs w:val="20"/>
                  </w:rPr>
                  <m:t>E</m:t>
                </m:r>
                <m:d>
                  <m:dPr>
                    <m:begChr m:val="["/>
                    <m:sepChr m:val="∣"/>
                    <m:endChr m:val="]"/>
                    <m:ctrlPr>
                      <w:rPr>
                        <w:rFonts w:ascii="Cambria Math" w:hAnsi="Cambria Math"/>
                        <w:i/>
                        <w:iCs/>
                        <w:sz w:val="20"/>
                        <w:szCs w:val="20"/>
                      </w:rPr>
                    </m:ctrlPr>
                  </m:dPr>
                  <m:e>
                    <m:r>
                      <w:rPr>
                        <w:rFonts w:ascii="Cambria Math" w:hAnsi="Cambria Math"/>
                        <w:sz w:val="20"/>
                        <w:szCs w:val="20"/>
                      </w:rPr>
                      <m:t>Y</m:t>
                    </m:r>
                    <m:ctrlPr>
                      <w:rPr>
                        <w:rFonts w:ascii="Cambria Math" w:hAnsi="Cambria Math"/>
                        <w:iCs/>
                        <w:sz w:val="20"/>
                        <w:szCs w:val="20"/>
                      </w:rPr>
                    </m:ctrlPr>
                  </m:e>
                  <m:e>
                    <m:r>
                      <w:rPr>
                        <w:rFonts w:ascii="Cambria Math" w:hAnsi="Cambria Math"/>
                        <w:sz w:val="20"/>
                        <w:szCs w:val="20"/>
                      </w:rPr>
                      <m:t>T=1</m:t>
                    </m:r>
                  </m:e>
                </m:d>
                <m:r>
                  <w:rPr>
                    <w:rFonts w:ascii="Cambria Math" w:hAnsi="Cambria Math"/>
                    <w:sz w:val="20"/>
                    <w:szCs w:val="20"/>
                  </w:rPr>
                  <m:t>-</m:t>
                </m:r>
                <m:r>
                  <m:rPr>
                    <m:sty m:val="bi"/>
                  </m:rPr>
                  <w:rPr>
                    <w:rFonts w:ascii="Cambria Math" w:hAnsi="Cambria Math"/>
                    <w:sz w:val="20"/>
                    <w:szCs w:val="20"/>
                  </w:rPr>
                  <m:t>E</m:t>
                </m:r>
                <m:d>
                  <m:dPr>
                    <m:begChr m:val="["/>
                    <m:sepChr m:val="∣"/>
                    <m:endChr m:val="]"/>
                    <m:ctrlPr>
                      <w:rPr>
                        <w:rFonts w:ascii="Cambria Math" w:hAnsi="Cambria Math"/>
                        <w:i/>
                        <w:iCs/>
                        <w:sz w:val="20"/>
                        <w:szCs w:val="20"/>
                      </w:rPr>
                    </m:ctrlPr>
                  </m:dPr>
                  <m:e>
                    <m:r>
                      <w:rPr>
                        <w:rFonts w:ascii="Cambria Math" w:hAnsi="Cambria Math"/>
                        <w:sz w:val="20"/>
                        <w:szCs w:val="20"/>
                      </w:rPr>
                      <m:t>Y</m:t>
                    </m:r>
                    <m:ctrlPr>
                      <w:rPr>
                        <w:rFonts w:ascii="Cambria Math" w:hAnsi="Cambria Math"/>
                        <w:iCs/>
                        <w:sz w:val="20"/>
                        <w:szCs w:val="20"/>
                      </w:rPr>
                    </m:ctrlPr>
                  </m:e>
                  <m:e>
                    <m:r>
                      <w:rPr>
                        <w:rFonts w:ascii="Cambria Math" w:hAnsi="Cambria Math"/>
                        <w:sz w:val="20"/>
                        <w:szCs w:val="20"/>
                      </w:rPr>
                      <m:t>T=0</m:t>
                    </m:r>
                  </m:e>
                </m:d>
              </m:oMath>
            </m:oMathPara>
          </w:p>
        </w:tc>
        <w:tc>
          <w:tcPr>
            <w:tcW w:w="1165" w:type="dxa"/>
          </w:tcPr>
          <w:p w14:paraId="1DA66ED9" w14:textId="357E0B00" w:rsidR="00CB6A6B" w:rsidRDefault="00CB6A6B"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3</w:t>
            </w:r>
            <w:r>
              <w:rPr>
                <w:sz w:val="20"/>
                <w:szCs w:val="20"/>
              </w:rPr>
              <w:fldChar w:fldCharType="end"/>
            </w:r>
            <w:r>
              <w:rPr>
                <w:sz w:val="20"/>
                <w:szCs w:val="20"/>
              </w:rPr>
              <w:t>)</w:t>
            </w:r>
          </w:p>
        </w:tc>
      </w:tr>
    </w:tbl>
    <w:p w14:paraId="4ED01B24" w14:textId="5A02343B" w:rsidR="0061119F" w:rsidRDefault="00855CCA" w:rsidP="00ED147C">
      <w:pPr>
        <w:pStyle w:val="AMIAHeading"/>
        <w:spacing w:line="480" w:lineRule="auto"/>
        <w:jc w:val="left"/>
        <w:rPr>
          <w:b w:val="0"/>
          <w:bCs/>
        </w:rPr>
      </w:pPr>
      <w:r w:rsidRPr="00855CCA">
        <w:rPr>
          <w:b w:val="0"/>
          <w:bCs/>
        </w:rPr>
        <w:t xml:space="preserve">However, by assuming SITA, ITE and ATE can be calculated only with </w:t>
      </w:r>
      <m:oMath>
        <m:r>
          <w:rPr>
            <w:rFonts w:ascii="Cambria Math" w:hAnsi="Cambria Math"/>
          </w:rPr>
          <m:t>x</m:t>
        </m:r>
      </m:oMath>
      <w:r w:rsidRPr="00855CCA">
        <w:rPr>
          <w:b w:val="0"/>
          <w:bCs/>
        </w:rPr>
        <w:t xml:space="preserve"> being the same in treatment groups, which becomes quickly unfeasible when the dimension of </w:t>
      </w:r>
      <m:oMath>
        <m:r>
          <w:rPr>
            <w:rFonts w:ascii="Cambria Math" w:hAnsi="Cambria Math"/>
          </w:rPr>
          <m:t>x</m:t>
        </m:r>
      </m:oMath>
      <w:r w:rsidRPr="00855CCA">
        <w:rPr>
          <w:b w:val="0"/>
          <w:bCs/>
        </w:rPr>
        <w:t xml:space="preserve"> grows. PSM, through the conditional probability </w:t>
      </w:r>
      <m:oMath>
        <m:r>
          <m:rPr>
            <m:sty m:val="p"/>
          </m:rPr>
          <w:rPr>
            <w:rFonts w:ascii="Cambria Math" w:hAnsi="Cambria Math"/>
          </w:rPr>
          <m:t>π</m:t>
        </m:r>
        <m:d>
          <m:dPr>
            <m:ctrlPr>
              <w:rPr>
                <w:rFonts w:ascii="Cambria Math" w:hAnsi="Cambria Math"/>
                <w:b w:val="0"/>
                <w:bCs/>
                <w:i/>
              </w:rPr>
            </m:ctrlPr>
          </m:dPr>
          <m:e>
            <m:r>
              <w:rPr>
                <w:rFonts w:ascii="Cambria Math" w:hAnsi="Cambria Math"/>
              </w:rPr>
              <m:t>x</m:t>
            </m:r>
          </m:e>
        </m:d>
      </m:oMath>
      <w:r w:rsidRPr="00855CCA">
        <w:rPr>
          <w:b w:val="0"/>
          <w:bCs/>
        </w:rPr>
        <w:t xml:space="preserve"> (see eq. </w:t>
      </w:r>
      <w:r w:rsidR="00CC2DE6">
        <w:rPr>
          <w:b w:val="0"/>
          <w:bCs/>
        </w:rPr>
        <w:fldChar w:fldCharType="begin"/>
      </w:r>
      <w:r w:rsidR="00CC2DE6">
        <w:rPr>
          <w:b w:val="0"/>
          <w:bCs/>
        </w:rPr>
        <w:instrText xml:space="preserve"> REF equation1 \h </w:instrText>
      </w:r>
      <w:r w:rsidR="00CC2DE6">
        <w:rPr>
          <w:b w:val="0"/>
          <w:bCs/>
        </w:rPr>
      </w:r>
      <w:r w:rsidR="00CC2DE6">
        <w:rPr>
          <w:b w:val="0"/>
          <w:bCs/>
        </w:rPr>
        <w:fldChar w:fldCharType="separate"/>
      </w:r>
      <w:r w:rsidR="00CC2DE6">
        <w:rPr>
          <w:noProof/>
        </w:rPr>
        <w:t>1</w:t>
      </w:r>
      <w:r w:rsidR="00CC2DE6">
        <w:rPr>
          <w:b w:val="0"/>
          <w:bCs/>
        </w:rPr>
        <w:fldChar w:fldCharType="end"/>
      </w:r>
      <w:r w:rsidR="00437AEF">
        <w:rPr>
          <w:b w:val="0"/>
          <w:bCs/>
        </w:rPr>
        <w:t>)</w:t>
      </w:r>
      <w:r w:rsidR="00CC2DE6">
        <w:rPr>
          <w:b w:val="0"/>
          <w:bCs/>
        </w:rPr>
        <w:t xml:space="preserve"> </w:t>
      </w:r>
      <w:r w:rsidRPr="00855CCA">
        <w:rPr>
          <w:b w:val="0"/>
          <w:bCs/>
        </w:rPr>
        <w:t xml:space="preserve">attempts at balancing the probability of receiving </w:t>
      </w:r>
      <m:oMath>
        <m:r>
          <w:rPr>
            <w:rFonts w:ascii="Cambria Math" w:hAnsi="Cambria Math"/>
          </w:rPr>
          <m:t>T</m:t>
        </m:r>
      </m:oMath>
      <w:r w:rsidRPr="00855CCA">
        <w:rPr>
          <w:b w:val="0"/>
          <w:bCs/>
        </w:rPr>
        <w:t xml:space="preserve"> given </w:t>
      </w:r>
      <m:oMath>
        <m:r>
          <w:rPr>
            <w:rFonts w:ascii="Cambria Math" w:hAnsi="Cambria Math"/>
          </w:rPr>
          <m:t>X=x</m:t>
        </m:r>
      </m:oMath>
      <w:r w:rsidRPr="00855CCA">
        <w:rPr>
          <w:b w:val="0"/>
          <w:bCs/>
        </w:rPr>
        <w:t xml:space="preserve">. Once propensity scores are obtained for a population sample, the individuals in the treatment group must be matched those in the control group to make sure that they are balanced with respect to the background covariates; this is a second problem for which a number of </w:t>
      </w:r>
      <w:r w:rsidRPr="00855CCA">
        <w:rPr>
          <w:b w:val="0"/>
          <w:bCs/>
        </w:rPr>
        <w:lastRenderedPageBreak/>
        <w:t xml:space="preserve">(approximate) solutions can be used, including </w:t>
      </w:r>
      <w:r w:rsidRPr="007236AC">
        <w:rPr>
          <w:b w:val="0"/>
          <w:bCs/>
          <w:i/>
          <w:iCs/>
        </w:rPr>
        <w:t>k</w:t>
      </w:r>
      <w:r w:rsidRPr="00855CCA">
        <w:rPr>
          <w:b w:val="0"/>
          <w:bCs/>
        </w:rPr>
        <w:t>-nearest neighbor, Caliper matching</w:t>
      </w:r>
      <w:r w:rsidR="00AF17E7">
        <w:rPr>
          <w:b w:val="0"/>
          <w:bCs/>
        </w:rPr>
        <w:t>,</w:t>
      </w:r>
      <w:r w:rsidR="00AF17E7">
        <w:rPr>
          <w:b w:val="0"/>
          <w:bCs/>
        </w:rPr>
        <w:fldChar w:fldCharType="begin" w:fldLock="1"/>
      </w:r>
      <w:r w:rsidR="006B1FF1">
        <w:rPr>
          <w:b w:val="0"/>
          <w:bCs/>
        </w:rPr>
        <w:instrText>ADDIN CSL_CITATION {"citationItems":[{"id":"ITEM-1","itemData":{"DOI":"10.1002/sim.6004","ISSN":"02776715","PMID":"24123228","abstract":"Propensity-score matching is increasingly being used to reduce the confounding that can occur in observational studies examining the effects of treatments or interventions on outcomes. We used Monte Carlo simulations to examine the following algorithms for forming matched pairs of treated and untreated subjects: optimal matching, greedy nearest neighbor matching without replacement, and greedy nearest neighbor matching without replacement within specified caliper widths. For each of the latter two algorithms, we examined four different sub-algorithms defined by the order in which treated subjects were selected for matching to an untreated subject: lowest to highest propensity score, highest to lowest propensity score, best match first, and random order. We also examined matching with replacement. We found that (i) nearest neighbor matching induced the same balance in baseline covariates as did optimal matching; (ii) when at least some of the covariates were continuous, caliper matching tended to induce balance on baseline covariates that was at least as good as the other algorithms; (iii) caliper matching tended to result in estimates of treatment effect with less bias compared with optimal and nearest neighbor matching; (iv) optimal and nearest neighbor matching resulted in estimates of treatment effect with negligibly less variability than did caliper matching; (v) caliper matching had amongst the best performance when assessed using mean squared error; (vi) the order in which treated subjects were selected for matching had at most a modest effect on estimation; and (vii) matching with replacement did not have superior performance compared with caliper matching without replacement. © 2013 The Authors. Statistics in Medicine published by John Wiley &amp; Sons, Ltd.","author":[{"dropping-particle":"","family":"Austin","given":"Peter C.","non-dropping-particle":"","parse-names":false,"suffix":""}],"container-title":"Statistics in Medicine","id":"ITEM-1","issue":"6","issued":{"date-parts":[["2014","3","15"]]},"page":"1057-1069","publisher":"Wiley-Blackwell","title":"A comparison of 12 algorithms for matching on the propensity score","type":"article-journal","volume":"33"},"uris":["http://www.mendeley.com/documents/?uuid=db5cbd7f-43aa-3f5a-b32a-b45c6fd7d418"]}],"mendeley":{"formattedCitation":"[25]","plainTextFormattedCitation":"[25]","previouslyFormattedCitation":"[25]"},"properties":{"noteIndex":0},"schema":"https://github.com/citation-style-language/schema/raw/master/csl-citation.json"}</w:instrText>
      </w:r>
      <w:r w:rsidR="00AF17E7">
        <w:rPr>
          <w:b w:val="0"/>
          <w:bCs/>
        </w:rPr>
        <w:fldChar w:fldCharType="separate"/>
      </w:r>
      <w:r w:rsidR="00AF17E7" w:rsidRPr="00AF17E7">
        <w:rPr>
          <w:b w:val="0"/>
          <w:bCs/>
          <w:noProof/>
        </w:rPr>
        <w:t>[25]</w:t>
      </w:r>
      <w:r w:rsidR="00AF17E7">
        <w:rPr>
          <w:b w:val="0"/>
          <w:bCs/>
        </w:rPr>
        <w:fldChar w:fldCharType="end"/>
      </w:r>
      <w:r w:rsidRPr="00855CCA">
        <w:rPr>
          <w:b w:val="0"/>
          <w:bCs/>
        </w:rPr>
        <w:t xml:space="preserve"> and propensity weighing</w:t>
      </w:r>
      <w:r w:rsidR="006B1FF1">
        <w:rPr>
          <w:b w:val="0"/>
          <w:bCs/>
        </w:rPr>
        <w:fldChar w:fldCharType="begin" w:fldLock="1"/>
      </w:r>
      <w:r w:rsidR="00BF2F04">
        <w:rPr>
          <w:b w:val="0"/>
          <w:bCs/>
        </w:rPr>
        <w:instrText>ADDIN CSL_CITATION {"citationItems":[{"id":"ITEM-1","itemData":{"DOI":"10.3982/ecta11293","ISSN":"0012-9682","abstract":"This is the paper that leads to the correction of the stata code for generating ps scores, for example.","author":[{"dropping-particle":"","family":"Abadie","given":"Alberto","non-dropping-particle":"","parse-names":false,"suffix":""},{"dropping-particle":"","family":"Imbens","given":"Guido W.","non-dropping-particle":"","parse-names":false,"suffix":""}],"container-title":"Econometrica","id":"ITEM-1","issue":"2","issued":{"date-parts":[["2016","3","1"]]},"page":"781-807","publisher":"The Econometric Society","title":"Matching on the Estimated Propensity Score","type":"article-journal","volume":"84"},"uris":["http://www.mendeley.com/documents/?uuid=2bc72aab-0c33-379e-9280-679cc325b034"]}],"mendeley":{"formattedCitation":"[26]","plainTextFormattedCitation":"[26]","previouslyFormattedCitation":"[26]"},"properties":{"noteIndex":0},"schema":"https://github.com/citation-style-language/schema/raw/master/csl-citation.json"}</w:instrText>
      </w:r>
      <w:r w:rsidR="006B1FF1">
        <w:rPr>
          <w:b w:val="0"/>
          <w:bCs/>
        </w:rPr>
        <w:fldChar w:fldCharType="separate"/>
      </w:r>
      <w:r w:rsidR="006B1FF1" w:rsidRPr="006B1FF1">
        <w:rPr>
          <w:b w:val="0"/>
          <w:bCs/>
          <w:noProof/>
        </w:rPr>
        <w:t>[26]</w:t>
      </w:r>
      <w:r w:rsidR="006B1FF1">
        <w:rPr>
          <w:b w:val="0"/>
          <w:bCs/>
        </w:rPr>
        <w:fldChar w:fldCharType="end"/>
      </w:r>
      <w:r w:rsidR="006B1FF1">
        <w:rPr>
          <w:b w:val="0"/>
          <w:bCs/>
        </w:rPr>
        <w:t xml:space="preserve"> </w:t>
      </w:r>
      <w:r w:rsidRPr="00855CCA">
        <w:rPr>
          <w:b w:val="0"/>
          <w:bCs/>
        </w:rPr>
        <w:t>(on which the DCN-PD was based).</w:t>
      </w:r>
    </w:p>
    <w:p w14:paraId="6BA2C059" w14:textId="77777777" w:rsidR="00E71540" w:rsidRDefault="00E71540" w:rsidP="00ED147C">
      <w:pPr>
        <w:pStyle w:val="AMIAHeading"/>
        <w:spacing w:line="480" w:lineRule="auto"/>
        <w:jc w:val="left"/>
        <w:rPr>
          <w:b w:val="0"/>
          <w:bCs/>
        </w:rPr>
      </w:pPr>
    </w:p>
    <w:p w14:paraId="4818A46D" w14:textId="491122A6" w:rsidR="00670620" w:rsidRDefault="00670620" w:rsidP="00670620">
      <w:pPr>
        <w:pStyle w:val="AMIAHeading"/>
        <w:spacing w:line="480" w:lineRule="auto"/>
      </w:pPr>
      <w:r>
        <w:t>2.</w:t>
      </w:r>
      <w:r w:rsidR="005E50DB">
        <w:t>2</w:t>
      </w:r>
      <w:r>
        <w:t xml:space="preserve"> </w:t>
      </w:r>
      <w:r w:rsidR="00EC4597" w:rsidRPr="00EC4597">
        <w:t>Proposed Approach</w:t>
      </w:r>
    </w:p>
    <w:p w14:paraId="4B91AD7F" w14:textId="492EB2F7" w:rsidR="002815FF" w:rsidRDefault="002815FF" w:rsidP="00670620">
      <w:pPr>
        <w:pStyle w:val="AMIAHeading"/>
        <w:spacing w:line="480" w:lineRule="auto"/>
        <w:rPr>
          <w:b w:val="0"/>
          <w:bCs/>
        </w:rPr>
      </w:pPr>
      <w:r w:rsidRPr="002815FF">
        <w:rPr>
          <w:b w:val="0"/>
          <w:bCs/>
        </w:rPr>
        <w:t>The DCN-PD method</w:t>
      </w:r>
      <w:r w:rsidR="00BF2F04">
        <w:rPr>
          <w:b w:val="0"/>
          <w:bCs/>
        </w:rPr>
        <w:fldChar w:fldCharType="begin" w:fldLock="1"/>
      </w:r>
      <w:r w:rsidR="00FB7851">
        <w:rPr>
          <w:b w:val="0"/>
          <w:bCs/>
        </w:rPr>
        <w:instrText>ADDIN CSL_CITATION {"citationItems":[{"id":"ITEM-1","itemData":{"abstract":"We propose a novel approach for inferring the individualized causal effects of a treatment (intervention) from observational data. Our approach conceptualizes causal inference as a multitask learning problem; we model a subject's potential outcomes using a deep multitask network with a set of shared layers among the factual and counterfactual outcomes, and a set of outcome-specific layers. The impact of selection bias in the observational data is alleviated via a propensity-dropout regularization scheme, in which the network is thinned for every training example via a dropout probability that depends on the associated propensity score. The network is trained in alternating phases, where in each phase we use the training examples of one of the two potential outcomes (treated and control populations) to update the weights of the shared layers and the respective outcome-specific layers. Experiments conducted on data based on a real-world observational study show that our algorithm outperforms the state-of-the-art.","author":[{"dropping-particle":"","family":"Alaa","given":"Ahmed M.","non-dropping-particle":"","parse-names":false,"suffix":""},{"dropping-particle":"","family":"Weisz","given":"Michael","non-dropping-particle":"","parse-names":false,"suffix":""},{"dropping-particle":"","family":"Schaar","given":"Mihaela","non-dropping-particle":"van der","parse-names":false,"suffix":""}],"id":"ITEM-1","issued":{"date-parts":[["2017"]]},"title":"Deep Counterfactual Networks with Propensity-Dropout","type":"article-journal"},"uris":["http://www.mendeley.com/documents/?uuid=ae03d306-b906-4b86-ad33-9495f4a62b33"]}],"mendeley":{"formattedCitation":"[17]","plainTextFormattedCitation":"[17]","previouslyFormattedCitation":"[17]"},"properties":{"noteIndex":0},"schema":"https://github.com/citation-style-language/schema/raw/master/csl-citation.json"}</w:instrText>
      </w:r>
      <w:r w:rsidR="00BF2F04">
        <w:rPr>
          <w:b w:val="0"/>
          <w:bCs/>
        </w:rPr>
        <w:fldChar w:fldCharType="separate"/>
      </w:r>
      <w:r w:rsidR="00BF2F04" w:rsidRPr="00BF2F04">
        <w:rPr>
          <w:b w:val="0"/>
          <w:bCs/>
          <w:noProof/>
        </w:rPr>
        <w:t>[17]</w:t>
      </w:r>
      <w:r w:rsidR="00BF2F04">
        <w:rPr>
          <w:b w:val="0"/>
          <w:bCs/>
        </w:rPr>
        <w:fldChar w:fldCharType="end"/>
      </w:r>
      <w:r w:rsidRPr="002815FF">
        <w:rPr>
          <w:b w:val="0"/>
          <w:bCs/>
        </w:rPr>
        <w:t xml:space="preserve"> offered a novel and effective way to calculate nonlinear propensity scores as well as to match individuals, providing better ITE and ATE estimation over classical PSM methods. However, DCN-PD might be affected by curse of dimensionality, with associated residual confounding in study settings where the covariate space has potentially very high cardinality, e.g. in target trial designs that use EHR databases</w:t>
      </w:r>
      <w:r w:rsidR="00FB7851">
        <w:rPr>
          <w:b w:val="0"/>
          <w:bCs/>
        </w:rPr>
        <w:t>.</w:t>
      </w:r>
      <w:r w:rsidR="00FB7851">
        <w:rPr>
          <w:b w:val="0"/>
          <w:bCs/>
        </w:rPr>
        <w:fldChar w:fldCharType="begin" w:fldLock="1"/>
      </w:r>
      <w:r w:rsidR="006D21E4">
        <w:rPr>
          <w:b w:val="0"/>
          <w:bCs/>
        </w:rPr>
        <w:instrText>ADDIN CSL_CITATION {"citationItems":[{"id":"ITEM-1","itemData":{"ISSN":"1942597X","PMID":"30815206","abstract":"The increasing adoption of electronic health record (EHR) systems and proliferation of clinical data offer unprecedented opportunities for cohort identification to accelerate patient recruitment. However, the effort required to translate trial eligibility criteria to the correct cohort identification queries for clinical investigators is substantial, at least in part due to the lack of clear definitions in both the free-text eligibility criteria and the data models used to structure the available data elements in target patient databases. We propose to adopt an ontology-driven data access approach that generates formal representations of the connections between the entities in eligibility criteria and the available data elements to (1) narrow the semantic gap between researchers' cohort identification needs and the underlying database nuances, and (2) render the eligibility criteria computable. We implemented our approach based on an analysis of the eligibility criteria from 77 Hepatitis C trials. We found that 4 major types of data manipulation queries and 4 temporal patterns covered all eligibility criteria that were computable. We built a prototype system that helps researchers write computable eligibility criteria and execute them against clinical data in real-time to find potential trial cohorts.","author":[{"dropping-particle":"","family":"Zhang","given":"Hansi","non-dropping-particle":"","parse-names":false,"suffix":""},{"dropping-particle":"","family":"He","given":"Zhe","non-dropping-particle":"","parse-names":false,"suffix":""},{"dropping-particle":"","family":"He","given":"Xing","non-dropping-particle":"","parse-names":false,"suffix":""},{"dropping-particle":"","family":"Guo","given":"Yi","non-dropping-particle":"","parse-names":false,"suffix":""},{"dropping-particle":"","family":"Nelson","given":"David R.","non-dropping-particle":"","parse-names":false,"suffix":""},{"dropping-particle":"","family":"Modave","given":"François","non-dropping-particle":"","parse-names":false,"suffix":""},{"dropping-particle":"","family":"Wu","given":"Yonghui","non-dropping-particle":"","parse-names":false,"suffix":""},{"dropping-particle":"","family":"Hogan","given":"William","non-dropping-particle":"","parse-names":false,"suffix":""},{"dropping-particle":"","family":"Prosperi","given":"Mattia","non-dropping-particle":"","parse-names":false,"suffix":""},{"dropping-particle":"","family":"Bian","given":"Jiang","non-dropping-particle":"","parse-names":false,"suffix":""}],"container-title":"AMIA ... Annual Symposium proceedings. AMIA Symposium","id":"ITEM-1","issued":{"date-parts":[["2018"]]},"title":"Computable Eligibility Criteria through Ontology-driven Data Access: A Case Study of Hepatitis C Virus Trials","type":"article-journal"},"uris":["http://www.mendeley.com/documents/?uuid=967f5d34-f8c1-4245-b83d-b8f668c5af93"]},{"id":"ITEM-2","itemData":{"abstract":"Existing trials had not taken enough consideration of their population representativeness, which can lower the effectiveness when the treatment is applied in real-world clinical practice. We analyzed the eligibility criteria of Bevacizumab colorectal cancer treatment trials, assessed their a priori generalizability, and examined how it affects patient outcomes when applied in real-world clinical settings. To do so, we extracted patient-level data from a large collection of electronic health records (EHRs) from the OneFlorida consortium. We built a zero-inflated negative binomial model using a composite patient-trial generalizability (cPTG) score to predict patients' clinical outcomes (i.e., number of serious adverse events, [SAEs]). Our study results provide a body of evidence that 1) the cPTG scores can predict patient outcomes; and 2) patients who are more similar to the study population in the trials that were used to develop the treatment will have a significantly lower possibility to experience serious adverse events.","author":[{"dropping-particle":"","family":"Li","given":"Qian","non-dropping-particle":"","parse-names":false,"suffix":""},{"dropping-particle":"","family":"He","given":"Zhe","non-dropping-particle":"","parse-names":false,"suffix":""},{"dropping-particle":"","family":"Guo","given":"Yi","non-dropping-particle":"","parse-names":false,"suffix":""},{"dropping-particle":"","family":"Zhang","given":"Hansi","non-dropping-particle":"","parse-names":false,"suffix":""},{"dropping-particle":"","family":"George","given":"Thomas J","non-dropping-particle":"","parse-names":false,"suffix":""},{"dropping-particle":"","family":"Hogan","given":"William","non-dropping-particle":"","parse-names":false,"suffix":""},{"dropping-particle":"","family":"Charness","given":"Neil","non-dropping-particle":"","parse-names":false,"suffix":""},{"dropping-particle":"","family":"Bian","given":"Jiang","non-dropping-particle":"","parse-names":false,"suffix":""}],"id":"ITEM-2","issued":{"date-parts":[["0"]]},"title":"Assessing the Validity of a a priori Patient-Trial Generalizability Score using Real-world Data from a Large Clinical Data Research Network: A Colorectal Cancer Clinical Trial Case Study","type":"report"},"uris":["http://www.mendeley.com/documents/?uuid=fa236111-30f9-3f25-9e8f-65992c63abf6"]}],"mendeley":{"formattedCitation":"[27,28]","plainTextFormattedCitation":"[27,28]","previouslyFormattedCitation":"[27,28]"},"properties":{"noteIndex":0},"schema":"https://github.com/citation-style-language/schema/raw/master/csl-citation.json"}</w:instrText>
      </w:r>
      <w:r w:rsidR="00FB7851">
        <w:rPr>
          <w:b w:val="0"/>
          <w:bCs/>
        </w:rPr>
        <w:fldChar w:fldCharType="separate"/>
      </w:r>
      <w:r w:rsidR="00FB7851" w:rsidRPr="00FB7851">
        <w:rPr>
          <w:b w:val="0"/>
          <w:bCs/>
          <w:noProof/>
        </w:rPr>
        <w:t>[27,28]</w:t>
      </w:r>
      <w:r w:rsidR="00FB7851">
        <w:rPr>
          <w:b w:val="0"/>
          <w:bCs/>
        </w:rPr>
        <w:fldChar w:fldCharType="end"/>
      </w:r>
      <w:r w:rsidRPr="002815FF">
        <w:rPr>
          <w:b w:val="0"/>
          <w:bCs/>
        </w:rPr>
        <w:t xml:space="preserve"> Feature selection and shrinkage has been proven effective for PSM by logistic regression</w:t>
      </w:r>
      <w:r w:rsidR="006D21E4">
        <w:rPr>
          <w:b w:val="0"/>
          <w:bCs/>
        </w:rPr>
        <w:fldChar w:fldCharType="begin" w:fldLock="1"/>
      </w:r>
      <w:r w:rsidR="00811F52">
        <w:rPr>
          <w:b w:val="0"/>
          <w:bCs/>
        </w:rPr>
        <w:instrText>ADDIN CSL_CITATION {"citationItems":[{"id":"ITEM-1","itemData":{"DOI":"10.1097/EDE.0b013e3181a663cc","ISSN":"10443983","PMID":"19487948","abstract":"Background: Adjusting for large numbers of covariates ascertained from patients' health care claims data may improve control of confounding, as these variables may collectively be proxies for unobserved factors. Here, we develop and test an algorithm that empirically identifies candidate covariates, prioritizes covariates, and integrates them into a propensity-score-based confounder adjustment model.Methods: We developed a multistep algorithm to implement high-dimensional proxy adjustment in claims data. Steps include (1) identifying data dimensions, eg, diagnoses, procedures, and medications; (2) empirically identifying candidate covariates; (3) assessing recurrence of codes; (4) prioritizing covariates; (5) selecting covariates for adjustment; (6) estimating the exposure propensity score; and (7) estimating an outcome model. This algorithm was tested in Medicare claims data, including a study on the effect of cox-2 inhibitors on reduced gastric toxicity compared with nonse-lective nonsteroidal anti-inflammatory drugs (NSAIDs). Results: In a population of 49,653 new users of Cox-2 inhibitors or nonselective NSAIDs, a crude relative risk (RR) for upper GI toxicity (RR = 1.09 [95% confidence interval = 0.91-1.30]) was initially observed. Adjusting for 15 predefined covariates resulted in a possible gastroprotective effect (0.94 [0.78-1.12]). A gastropro-tective effect became stronger when adjusting for an additional 500 algorithm-derived covariates (0.88 [0.73-1.06]). Results of a study on the effect of statin on reduced mortality were similar. Using the algorithm adjustment confirmed a null finding between influenza vaccination and hip fracture (1.02 [0.85-1.21]). Conclusions: In typical pharmacoepidemiologic studies, the proposed high-dimensional propensity score resulted in improved effect estimates compared with adjustment limited to predefined covari-© 2009 by Lippincott.","author":[{"dropping-particle":"","family":"Schneeweiss","given":"Sebastian","non-dropping-particle":"","parse-names":false,"suffix":""},{"dropping-particle":"","family":"Rassen","given":"Jeremy A.","non-dropping-particle":"","parse-names":false,"suffix":""},{"dropping-particle":"","family":"Glynn","given":"Robert J.","non-dropping-particle":"","parse-names":false,"suffix":""},{"dropping-particle":"","family":"Avorn","given":"Jerry","non-dropping-particle":"","parse-names":false,"suffix":""},{"dropping-particle":"","family":"Mogun","given":"Helen","non-dropping-particle":"","parse-names":false,"suffix":""},{"dropping-particle":"","family":"Brookhart","given":"M. Alan","non-dropping-particle":"","parse-names":false,"suffix":""}],"container-title":"Epidemiology","id":"ITEM-1","issued":{"date-parts":[["2009"]]},"title":"High-dimensional propensity score adjustment in studies of treatment effects using health care claims data","type":"article-journal"},"uris":["http://www.mendeley.com/documents/?uuid=170997ff-77dd-494a-baed-ed9842e401f1"]},{"id":"ITEM-2","itemData":{"DOI":"10.1093/ije/dyy120","ISSN":"14643685","PMID":"29939268","abstract":"Background: Propensity score adjustment is a popular approach for confounding control in observational studies. Reliable frameworks are needed to determine relative propensity score performance in large-scale studies, and to establish optimal propensity score model selection methods. Methods: We detail a propensity score evaluation framework that includes synthetic and real-world data experiments. Our synthetic experimental design extends the ‘plasmode’ framework and simulates survival data under known effect sizes, and our real-world experiments use a set of negative control outcomes with presumed null effect sizes. In reproductions of two published cohort studies, we compare two propensity score estimation methods that contrast in their model selection approach: L 1 -regularized regression that conducts a penalized likelihood regression, and the ‘high-dimensional propensity score’ (hdPS) that employs a univariate covariate screen. We evaluate methods on a range of outcome-dependent and outcome-independent metrics. Results: L 1 -regularization propensity score methods achieve superior model fit, covariate balance and negative control bias reduction compared with the hdPS. Simulation results are mixed and fluctuate with simulation parameters, revealing a limitation of simulation under the proportional hazards framework. Including regularization with the hdPS reduces commonly reported non-convergence issues but has little effect on propensity score performance. Conclusions: L 1 -regularization incorporates all covariates simultaneously into the propensity score model and offers propensity score performance superior to the hdPS marginal screen.","author":[{"dropping-particle":"","family":"Tian","given":"Yuxi","non-dropping-particle":"","parse-names":false,"suffix":""},{"dropping-particle":"","family":"Schuemie","given":"Martijn J.","non-dropping-particle":"","parse-names":false,"suffix":""},{"dropping-particle":"","family":"Suchard","given":"Marc A.","non-dropping-particle":"","parse-names":false,"suffix":""}],"container-title":"International Journal of Epidemiology","id":"ITEM-2","issue":"6","issued":{"date-parts":[["2018"]]},"page":"2005-2014","title":"Evaluating large-scale propensity score performance through real-world and synthetic data experiments","type":"article-journal","volume":"47"},"uris":["http://www.mendeley.com/documents/?uuid=416ef37a-9ef2-41cc-8fb0-32ca737d8fe0"]}],"mendeley":{"formattedCitation":"[12,13]","plainTextFormattedCitation":"[12,13]","previouslyFormattedCitation":"[12,13]"},"properties":{"noteIndex":0},"schema":"https://github.com/citation-style-language/schema/raw/master/csl-citation.json"}</w:instrText>
      </w:r>
      <w:r w:rsidR="006D21E4">
        <w:rPr>
          <w:b w:val="0"/>
          <w:bCs/>
        </w:rPr>
        <w:fldChar w:fldCharType="separate"/>
      </w:r>
      <w:r w:rsidR="00A94F86" w:rsidRPr="00A94F86">
        <w:rPr>
          <w:b w:val="0"/>
          <w:bCs/>
          <w:noProof/>
        </w:rPr>
        <w:t>[12,13]</w:t>
      </w:r>
      <w:r w:rsidR="006D21E4">
        <w:rPr>
          <w:b w:val="0"/>
          <w:bCs/>
        </w:rPr>
        <w:fldChar w:fldCharType="end"/>
      </w:r>
      <w:r w:rsidRPr="002815FF">
        <w:rPr>
          <w:b w:val="0"/>
          <w:bCs/>
        </w:rPr>
        <w:t xml:space="preserve"> and in the same way dimensionality reduction can be implemented in deep neural architectures.</w:t>
      </w:r>
      <w:r w:rsidR="00811F52">
        <w:rPr>
          <w:b w:val="0"/>
          <w:bCs/>
        </w:rPr>
        <w:fldChar w:fldCharType="begin" w:fldLock="1"/>
      </w:r>
      <w:r w:rsidR="00C91154">
        <w:rPr>
          <w:b w:val="0"/>
          <w:bCs/>
        </w:rPr>
        <w:instrText>ADDIN CSL_CITATION {"citationItems":[{"id":"ITEM-1","itemData":{"DOI":"10.1126/science.1127647","ISSN":"00368075","PMID":"16873662","abstract":"High-dimensional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R.","non-dropping-particle":"","parse-names":false,"suffix":""}],"container-title":"Science","id":"ITEM-1","issued":{"date-parts":[["2006"]]},"title":"Reducing the dimensionality of data with neural networks","type":"article-journal"},"uris":["http://www.mendeley.com/documents/?uuid=121b57ee-a17d-4c42-8717-56a5f4fd3c4b"]}],"mendeley":{"formattedCitation":"[29]","plainTextFormattedCitation":"[29]","previouslyFormattedCitation":"[29]"},"properties":{"noteIndex":0},"schema":"https://github.com/citation-style-language/schema/raw/master/csl-citation.json"}</w:instrText>
      </w:r>
      <w:r w:rsidR="00811F52">
        <w:rPr>
          <w:b w:val="0"/>
          <w:bCs/>
        </w:rPr>
        <w:fldChar w:fldCharType="separate"/>
      </w:r>
      <w:r w:rsidR="00811F52" w:rsidRPr="00811F52">
        <w:rPr>
          <w:b w:val="0"/>
          <w:bCs/>
          <w:noProof/>
        </w:rPr>
        <w:t>[29]</w:t>
      </w:r>
      <w:r w:rsidR="00811F52">
        <w:rPr>
          <w:b w:val="0"/>
          <w:bCs/>
        </w:rPr>
        <w:fldChar w:fldCharType="end"/>
      </w:r>
      <w:r w:rsidRPr="002815FF">
        <w:rPr>
          <w:b w:val="0"/>
          <w:bCs/>
        </w:rPr>
        <w:t xml:space="preserve"> An autoencoder is a neural network that learns to copy its input to its output (encoder-decoder), but the input is coded into a lower dimension within the hidden layer(s)</w:t>
      </w:r>
      <w:r w:rsidR="00C91154">
        <w:rPr>
          <w:b w:val="0"/>
          <w:bCs/>
        </w:rPr>
        <w:t>.</w:t>
      </w:r>
      <w:r w:rsidR="00C91154">
        <w:rPr>
          <w:b w:val="0"/>
          <w:bCs/>
        </w:rPr>
        <w:fldChar w:fldCharType="begin" w:fldLock="1"/>
      </w:r>
      <w:r w:rsidR="0084477B">
        <w:rPr>
          <w:b w:val="0"/>
          <w:bCs/>
        </w:rPr>
        <w:instrText>ADDIN CSL_CITATION {"citationItems":[{"id":"ITEM-1","itemData":{"DOI":"10.1021/jp906511z","ISSN":"15205207","PMID":"20148535","abstract":"An autoencoder network uses a aset of recognition weights to convert the input veecotre into a code vectore. It then uses set of generative weights to convert the code vector inot an approximate reconstruction of the input vector. We derive and objective function for training autoencoderss based on the minimum descrption length (MDL) principle. The aim is to minimize the information required to describe both the code vector and the reconsrtuction error. WE show that this information is minimzed by choosing code vectors stochastiacally according to a Boltzmann distribution, where the generative weights define the energy of each possible code vector given the input vector. Unfortunately, if the code vectors use distributed representations, it is exponentially expensive to compute this Boltzmann distribution because it involves all possible code vectors. We show that the recognition weights of an autoencoder can be used to compute an approximation to the Boltzmann distribution and that this approixmation gives an upper bound on the description length. Even hen this bound is poor, it can be used a Lyapuov function for learning both the generative and recognition weights. We demonstrate that this approach can be used to learn factorial codes.","author":[{"dropping-particle":"","family":"Hinton","given":"Geoffrey E","non-dropping-particle":"","parse-names":false,"suffix":""},{"dropping-particle":"","family":"Zemel","given":"Richard S","non-dropping-particle":"","parse-names":false,"suffix":""}],"container-title":"Advances in neural information processing systems","id":"ITEM-1","issued":{"date-parts":[["1994"]]},"title":"Autoencoders, Minimum Description Length and Helmholtz free Energy","type":"article-journal"},"uris":["http://www.mendeley.com/documents/?uuid=969e07e4-7baf-4f00-b91b-95c96fc63413"]}],"mendeley":{"formattedCitation":"[30]","plainTextFormattedCitation":"[30]","previouslyFormattedCitation":"[30]"},"properties":{"noteIndex":0},"schema":"https://github.com/citation-style-language/schema/raw/master/csl-citation.json"}</w:instrText>
      </w:r>
      <w:r w:rsidR="00C91154">
        <w:rPr>
          <w:b w:val="0"/>
          <w:bCs/>
        </w:rPr>
        <w:fldChar w:fldCharType="separate"/>
      </w:r>
      <w:r w:rsidR="00C91154" w:rsidRPr="00C91154">
        <w:rPr>
          <w:b w:val="0"/>
          <w:bCs/>
          <w:noProof/>
        </w:rPr>
        <w:t>[30]</w:t>
      </w:r>
      <w:r w:rsidR="00C91154">
        <w:rPr>
          <w:b w:val="0"/>
          <w:bCs/>
        </w:rPr>
        <w:fldChar w:fldCharType="end"/>
      </w:r>
      <w:r w:rsidRPr="002815FF">
        <w:rPr>
          <w:b w:val="0"/>
          <w:bCs/>
        </w:rPr>
        <w:t xml:space="preserve"> </w:t>
      </w:r>
      <w:r w:rsidR="009C364F">
        <w:rPr>
          <w:b w:val="0"/>
          <w:bCs/>
        </w:rPr>
        <w:t xml:space="preserve"> </w:t>
      </w:r>
      <w:r w:rsidRPr="002815FF">
        <w:rPr>
          <w:b w:val="0"/>
          <w:bCs/>
        </w:rPr>
        <w:t>In its simplest form, i.e. a single layer with linear/sigmoid activations, the autoencoder is closely related to principal component analysis (PCA), while highly nonlinear codes can be achieved by augmenting the layer architecture, e.g. deep beliefs networks</w:t>
      </w:r>
      <w:r w:rsidR="0084477B">
        <w:rPr>
          <w:b w:val="0"/>
          <w:bCs/>
        </w:rPr>
        <w:t>.</w:t>
      </w:r>
      <w:r w:rsidR="0084477B">
        <w:rPr>
          <w:b w:val="0"/>
          <w:bCs/>
        </w:rPr>
        <w:fldChar w:fldCharType="begin" w:fldLock="1"/>
      </w:r>
      <w:r w:rsidR="005B3F23">
        <w:rPr>
          <w:b w:val="0"/>
          <w:bCs/>
        </w:rPr>
        <w:instrText>ADDIN CSL_CITATION {"citationItems":[{"id":"ITEM-1","itemData":{"abstract":"Traditionally, when generative models of data are developed via deep architectures, greedy layer-wise pre-training is employed. In a well-trained model, the lower layer of the architecture models the data distribution conditional upon the hidden variables, while the higher layers model the hidden distribution prior. But due to the greedy scheme of the layerwise training technique, the parameters of lower layers are fixed when training higher layers. This makes it extremely challenging for the model to learn the hidden distribution prior, which in turn leads to a suboptimal model for the data distribution. We therefore investigate joint training of deep autoencoders, where the architecture is viewed as one stack of two or more single-layer autoencoders. A single global reconstruction objective is jointly optimized, such that the objective for the single autoencoders at each layer acts as a local, layer-level regularizer. We empirically evaluate the performance of this joint training scheme and observe that it not only learns a better data model, but also learns better higher layer representations, which highlights its potential for unsupervised feature learning. In addition, we find that the usage of regularizations in the joint training scheme is crucial in achieving good performance. In the supervised setting, joint training also shows superior performance when training deeper models. The joint training framework can thus provide a platform for investigating more efficient usage of different types of regularizers, especially in light of the growing volumes of available unlabeled data.","author":[{"dropping-particle":"","family":"Zhou","given":"Yingbo","non-dropping-particle":"","parse-names":false,"suffix":""},{"dropping-particle":"","family":"Arpit","given":"Devansh","non-dropping-particle":"","parse-names":false,"suffix":""},{"dropping-particle":"","family":"Nwogu","given":"Ifeoma","non-dropping-particle":"","parse-names":false,"suffix":""},{"dropping-particle":"","family":"Govindaraju","given":"Venu","non-dropping-particle":"","parse-names":false,"suffix":""}],"id":"ITEM-1","issued":{"date-parts":[["0"]]},"title":"Is Joint Training Better for Deep Auto-Encoders?","type":"report"},"uris":["http://www.mendeley.com/documents/?uuid=0976cf4a-610f-338d-bc51-0def4403d0c3"]}],"mendeley":{"formattedCitation":"[31]","plainTextFormattedCitation":"[31]","previouslyFormattedCitation":"[31]"},"properties":{"noteIndex":0},"schema":"https://github.com/citation-style-language/schema/raw/master/csl-citation.json"}</w:instrText>
      </w:r>
      <w:r w:rsidR="0084477B">
        <w:rPr>
          <w:b w:val="0"/>
          <w:bCs/>
        </w:rPr>
        <w:fldChar w:fldCharType="separate"/>
      </w:r>
      <w:r w:rsidR="0084477B" w:rsidRPr="0084477B">
        <w:rPr>
          <w:b w:val="0"/>
          <w:bCs/>
          <w:noProof/>
        </w:rPr>
        <w:t>[31]</w:t>
      </w:r>
      <w:r w:rsidR="0084477B">
        <w:rPr>
          <w:b w:val="0"/>
          <w:bCs/>
        </w:rPr>
        <w:fldChar w:fldCharType="end"/>
      </w:r>
      <w:r w:rsidRPr="002815FF">
        <w:rPr>
          <w:b w:val="0"/>
          <w:bCs/>
        </w:rPr>
        <w:t xml:space="preserve"> Autoencoders have been employed in several applications, from machine translation to drug discovery</w:t>
      </w:r>
      <w:r w:rsidR="005B3F23">
        <w:rPr>
          <w:b w:val="0"/>
          <w:bCs/>
        </w:rPr>
        <w:t>.</w:t>
      </w:r>
      <w:r w:rsidR="005B3F23">
        <w:rPr>
          <w:b w:val="0"/>
          <w:bCs/>
        </w:rPr>
        <w:fldChar w:fldCharType="begin" w:fldLock="1"/>
      </w:r>
      <w:r w:rsidR="00373E0D">
        <w:rPr>
          <w:b w:val="0"/>
          <w:bCs/>
        </w:rPr>
        <w:instrText>ADDIN CSL_CITATION {"citationItems":[{"id":"ITEM-1","itemData":{"DOI":"10.3115/v1/w14-4012","abstract":"Neural machine translation is a relatively new approach to statistical machine translation based purely on neural networks. The neural machine translation models often consist of an encoder and a decoder. The encoder extracts a fixed-length representation from a variable-length input sentence, and the decoder generates a correct translation from this representation. In this paper, we focus on analyzing the properties of the neural machine translation using two models; RNN Encoder--Decoder and a newly proposed gated recursive convolutional neural network. We show that the neural machine translation performs relatively well on short sentences without unknown words, but its performance degrades rapidly as the length of the sentence and the number of unknown words increase. Furthermore, we find that the proposed gated recursive convolutional network learns a grammatical structure of a sentence automatically.","author":[{"dropping-particle":"","family":"Cho","given":"Kyunghyun","non-dropping-particle":"","parse-names":false,"suffix":""},{"dropping-particle":"","family":"Merrienboer","given":"Bart","non-dropping-particle":"van","parse-names":false,"suffix":""},{"dropping-particle":"","family":"Bahdanau","given":"Dzmitry","non-dropping-particle":"","parse-names":false,"suffix":""},{"dropping-particle":"","family":"Bengio","given":"Yoshua","non-dropping-particle":"","parse-names":false,"suffix":""}],"id":"ITEM-1","issued":{"date-parts":[["2015"]]},"title":"On the Properties of Neural Machine Translation: Encoder–Decoder Approaches","type":"paper-conference"},"uris":["http://www.mendeley.com/documents/?uuid=356ed922-fe4b-4532-b31a-e86647787dd6"]},{"id":"ITEM-2","itemData":{"DOI":"10.1038/s41587-019-0224-x","ISSN":"15461696","abstract":"We have developed a deep generative model, generative tensorial reinforcement learning (GENTRL), for de novo small-molecule design. GENTRL optimizes synthetic feasibility, novelty, and biological activity. We used GENTRL to discover potent inhibitors of discoidin domain receptor 1 (DDR1), a kinase target implicated in fibrosis and other diseases, in 21 days. Four compounds were active in biochemical assays, and two were validated in cell-based assays. One lead candidate was tested and demonstrated favorable pharmacokinetics in mice.","author":[{"dropping-particle":"","family":"Zhavoronkov","given":"Alex","non-dropping-particle":"","parse-names":false,"suffix":""},{"dropping-particle":"","family":"Ivanenkov","given":"Yan A.","non-dropping-particle":"","parse-names":false,"suffix":""},{"dropping-particle":"","family":"Aliper","given":"Alex","non-dropping-particle":"","parse-names":false,"suffix":""},{"dropping-particle":"","family":"Veselov","given":"Mark S.","non-dropping-particle":"","parse-names":false,"suffix":""},{"dropping-particle":"","family":"Aladinskiy","given":"Vladimir A.","non-dropping-particle":"","parse-names":false,"suffix":""},{"dropping-particle":"V.","family":"Aladinskaya","given":"Anastasiya","non-dropping-particle":"","parse-names":false,"suffix":""},{"dropping-particle":"","family":"Terentiev","given":"Victor A.","non-dropping-particle":"","parse-names":false,"suffix":""},{"dropping-particle":"","family":"Polykovskiy","given":"Daniil A.","non-dropping-particle":"","parse-names":false,"suffix":""},{"dropping-particle":"","family":"Kuznetsov","given":"Maksim D.","non-dropping-particle":"","parse-names":false,"suffix":""},{"dropping-particle":"","family":"Asadulaev","given":"Arip","non-dropping-particle":"","parse-names":false,"suffix":""},{"dropping-particle":"","family":"Volkov","given":"Yury","non-dropping-particle":"","parse-names":false,"suffix":""},{"dropping-particle":"","family":"Zholus","given":"Artem","non-dropping-particle":"","parse-names":false,"suffix":""},{"dropping-particle":"","family":"Shayakhmetov","given":"Rim R.","non-dropping-particle":"","parse-names":false,"suffix":""},{"dropping-particle":"","family":"Zhebrak","given":"Alexander","non-dropping-particle":"","parse-names":false,"suffix":""},{"dropping-particle":"","family":"Minaeva","given":"Lidiya I.","non-dropping-particle":"","parse-names":false,"suffix":""},{"dropping-particle":"","family":"Zagribelnyy","given":"Bogdan A.","non-dropping-particle":"","parse-names":false,"suffix":""},{"dropping-particle":"","family":"Lee","given":"Lennart H.","non-dropping-particle":"","parse-names":false,"suffix":""},{"dropping-particle":"","family":"Soll","given":"Richard","non-dropping-particle":"","parse-names":false,"suffix":""},{"dropping-particle":"","family":"Madge","given":"David","non-dropping-particle":"","parse-names":false,"suffix":""},{"dropping-particle":"","family":"Xing","given":"Li","non-dropping-particle":"","parse-names":false,"suffix":""},{"dropping-particle":"","family":"Guo","given":"Tao","non-dropping-particle":"","parse-names":false,"suffix":""},{"dropping-particle":"","family":"Aspuru-Guzik","given":"Alán","non-dropping-particle":"","parse-names":false,"suffix":""}],"container-title":"Nature Biotechnology","id":"ITEM-2","issued":{"date-parts":[["2019"]]},"title":"Deep learning enables rapid identification of potent DDR1 kinase inhibitors","type":"article-journal"},"uris":["http://www.mendeley.com/documents/?uuid=6f6ecdc8-f6c7-45ac-ac99-10f6fc91b45b"]}],"mendeley":{"formattedCitation":"[32,33]","plainTextFormattedCitation":"[32,33]","previouslyFormattedCitation":"[32,33]"},"properties":{"noteIndex":0},"schema":"https://github.com/citation-style-language/schema/raw/master/csl-citation.json"}</w:instrText>
      </w:r>
      <w:r w:rsidR="005B3F23">
        <w:rPr>
          <w:b w:val="0"/>
          <w:bCs/>
        </w:rPr>
        <w:fldChar w:fldCharType="separate"/>
      </w:r>
      <w:r w:rsidR="005B3F23" w:rsidRPr="005B3F23">
        <w:rPr>
          <w:b w:val="0"/>
          <w:bCs/>
          <w:noProof/>
        </w:rPr>
        <w:t>[32,33]</w:t>
      </w:r>
      <w:r w:rsidR="005B3F23">
        <w:rPr>
          <w:b w:val="0"/>
          <w:bCs/>
        </w:rPr>
        <w:fldChar w:fldCharType="end"/>
      </w:r>
      <w:r w:rsidRPr="002815FF">
        <w:rPr>
          <w:b w:val="0"/>
          <w:bCs/>
        </w:rPr>
        <w:t xml:space="preserve"> The sparse autoencoder is an approach that includes extra units (more than inputs) in the hidden layer, but only a small number of them units are allowed to be activated depending on the input</w:t>
      </w:r>
      <w:r w:rsidR="00373E0D">
        <w:rPr>
          <w:b w:val="0"/>
          <w:bCs/>
        </w:rPr>
        <w:t>.</w:t>
      </w:r>
      <w:r w:rsidR="00373E0D">
        <w:rPr>
          <w:b w:val="0"/>
          <w:bCs/>
        </w:rPr>
        <w:fldChar w:fldCharType="begin" w:fldLock="1"/>
      </w:r>
      <w:r w:rsidR="004373C9">
        <w:rPr>
          <w:b w:val="0"/>
          <w:bCs/>
        </w:rPr>
        <w:instrText>ADDIN CSL_CITATION {"citationItems":[{"id":"ITEM-1","itemData":{"author":[{"dropping-particle":"","family":"Ng","given":"Andrew","non-dropping-particle":"","parse-names":false,"suffix":""}],"id":"ITEM-1","issued":{"date-parts":[["0"]]},"title":"CS294A Lecture notes Sparse autoencoder","type":"report"},"uris":["http://www.mendeley.com/documents/?uuid=b46c232c-82af-31ff-8597-ae99dddc324a"]},{"id":"ITEM-2","itemData":{"abstract":"Recently, it has been observed that when representations are learnt in a way that encourages sparsity, improved performance is obtained on classification tasks. These methods involve combinations of activation functions, sampling steps and different kinds of penalties. To investigate the effectiveness of sparsity by itself, we propose the “ksparse autoencoder”, which is an autoencoder with linear activation function, where in hidden layers only the k highest activities are kept. When applied to the MNIST and NORB datasets, we find that this method achieves better classification results than denoising autoencoders, networks trained with dropout, and RBMs. k-sparse autoencoders are simple to train and the encoding stage is very fast, making them well-suited to large problem sizes, where conventional sparse coding algorithms cannot be applied.","author":[{"dropping-particle":"","family":"Makhzani","given":"Alireza","non-dropping-particle":"","parse-names":false,"suffix":""},{"dropping-particle":"","family":"Frey","given":"Brendan","non-dropping-particle":"","parse-names":false,"suffix":""}],"container-title":"2nd International Conference on Learning Representations, ICLR 2014 - Conference Track Proceedings","id":"ITEM-2","issued":{"date-parts":[["2014"]]},"title":"k-Sparse autoencoders","type":"paper-conference"},"uris":["http://www.mendeley.com/documents/?uuid=1a63111b-58c7-4fc8-a6ed-fce50c607d26"]}],"mendeley":{"formattedCitation":"[19,34]","plainTextFormattedCitation":"[19,34]","previouslyFormattedCitation":"[19,34]"},"properties":{"noteIndex":0},"schema":"https://github.com/citation-style-language/schema/raw/master/csl-citation.json"}</w:instrText>
      </w:r>
      <w:r w:rsidR="00373E0D">
        <w:rPr>
          <w:b w:val="0"/>
          <w:bCs/>
        </w:rPr>
        <w:fldChar w:fldCharType="separate"/>
      </w:r>
      <w:r w:rsidR="00373E0D" w:rsidRPr="00373E0D">
        <w:rPr>
          <w:b w:val="0"/>
          <w:bCs/>
          <w:noProof/>
        </w:rPr>
        <w:t>[19,34]</w:t>
      </w:r>
      <w:r w:rsidR="00373E0D">
        <w:rPr>
          <w:b w:val="0"/>
          <w:bCs/>
        </w:rPr>
        <w:fldChar w:fldCharType="end"/>
      </w:r>
      <w:r w:rsidR="00373E0D">
        <w:rPr>
          <w:b w:val="0"/>
          <w:bCs/>
        </w:rPr>
        <w:t xml:space="preserve"> </w:t>
      </w:r>
      <w:r w:rsidRPr="002815FF">
        <w:rPr>
          <w:b w:val="0"/>
          <w:bCs/>
        </w:rPr>
        <w:t>It has been also broadly applied in biomedical studies, including imaging and -omics datasets</w:t>
      </w:r>
      <w:r w:rsidR="004373C9">
        <w:rPr>
          <w:b w:val="0"/>
          <w:bCs/>
        </w:rPr>
        <w:t>.</w:t>
      </w:r>
      <w:r w:rsidR="004373C9">
        <w:rPr>
          <w:b w:val="0"/>
          <w:bCs/>
        </w:rPr>
        <w:fldChar w:fldCharType="begin" w:fldLock="1"/>
      </w:r>
      <w:r w:rsidR="00B46DD0">
        <w:rPr>
          <w:b w:val="0"/>
          <w:bCs/>
        </w:rPr>
        <w:instrText>ADDIN CSL_CITATION {"citationItems":[{"id":"ITEM-1","itemData":{"DOI":"10.1109/TIE.2017.2739691","ISSN":"02780046","abstract":"Human pose recovery in videos is usually conducted by matching 2-D image features and retrieving relevant 3-D human poses. In the retrieving process, the mapping between images and poses is critical. Traditional methods assume this mapping relationship as local joint detection or global joint localization, which limits recovery performance of these methods since this two tasks are actually unified. In this paper, we propose a novel pose recovery framework by simultaneously learning the tasks of joint localization and joint detection. To obtain this framework, multiple manifold learning is used and the shared parameter is calculated. With them, multiple manifold regularizers are integrated and generalized eigendecomposition is utilized to achieve parameter optimization. In this way, pose recovery is boosted by both global mapping and local refinement. Experimental results on two popular datasets demonstrates that the recovery error has been reduced by 10%-20%, which proves the performance improvement of the proposed method.","author":[{"dropping-particle":"","family":"Yu","given":"Jun","non-dropping-particle":"","parse-names":false,"suffix":""},{"dropping-particle":"","family":"Hong","given":"Chaoqun","non-dropping-particle":"","parse-names":false,"suffix":""},{"dropping-particle":"","family":"Rui","given":"Yong","non-dropping-particle":"","parse-names":false,"suffix":""},{"dropping-particle":"","family":"Tao","given":"Dacheng","non-dropping-particle":"","parse-names":false,"suffix":""}],"container-title":"IEEE Transactions on Industrial Electronics","id":"ITEM-1","issued":{"date-parts":[["2018"]]},"title":"Multitask Autoencoder Model for Recovering Human Poses","type":"article-journal"},"uris":["http://www.mendeley.com/documents/?uuid=bebb4230-4c39-4b76-bb7e-2114f0189e96"]},{"id":"ITEM-2","itemData":{"DOI":"10.1155/2018/3078374","ISSN":"10990526","abstract":"This paper focuses on the problem of lung nodule image classification, which plays a key role in lung cancer early diagnosis. In this work, we propose a novel model for lung nodule image feature representation that incorporates both local and global characters. First, lung nodule images are divided into local patches with Superpixel. Then these patches are transformed into fixed-length local feature vectors using unsupervised deep autoencoder (DAE). The visual vocabulary is constructed based on the local features and bag of visual words (BOVW) is used to describe the global feature representation of lung nodule image. Finally, softmax algorithm is employed for lung nodule type classification, which can assemble the whole training process as an end-to-end mode. Comprehensive evaluations are conducted on the widely used public available ELCAP lung image database. Experimental results with regard to different parameter setting, data augmentation, model sparsity, classifier algorithms, and model ensemble validate the effectiveness of our proposed approach.","author":[{"dropping-particle":"","family":"Mao","given":"Keming","non-dropping-particle":"","parse-names":false,"suffix":""},{"dropping-particle":"","family":"Tang","given":"Renjie","non-dropping-particle":"","parse-names":false,"suffix":""},{"dropping-particle":"","family":"Wang","given":"Xinqi","non-dropping-particle":"","parse-names":false,"suffix":""},{"dropping-particle":"","family":"Zhang","given":"Weiyi","non-dropping-particle":"","parse-names":false,"suffix":""},{"dropping-particle":"","family":"Wu","given":"Haoxiang","non-dropping-particle":"","parse-names":false,"suffix":""}],"container-title":"Complexity","id":"ITEM-2","issued":{"date-parts":[["2018"]]},"title":"Feature Representation Using Deep Autoencoder for Lung Nodule Image Classification","type":"article-journal"},"uris":["http://www.mendeley.com/documents/?uuid=40152bb0-c3ac-4506-94ea-b88d81afe0ca"]},{"id":"ITEM-3","itemData":{"DOI":"10.1016/j.compbiomed.2018.05.027","ISSN":"18790534","abstract":"Automatic segmentation of ischemic stroke lesion volumes from multi-spectral Magnetic Resonance Imaging (MRI) sequences plays a vital role in quantifying and locating the lesion region. Most existing methods mainly rely on designing hand-crafted features followed by a classifier model for ischemic stroke lesion segmentation. Design of these features requires complex domain knowledge and often lacks the ability to differentiate between the stroke lesions and the normal classes. In this work, we propose an unsupervised featured learning approach based on stacked sparse autoencoder (SSAE) framework for automatically learning the features for accurate segmentation of stroke lesions from brain MR images. A deep architecture is designed using sparse autoencoder (SAE) layers, followed by support vector machine (SVM) classifier for classifying the patches into normal or lesions. We validated our approach on a publicly available Ischemic Stroke Lesion Segmentation (ISLES) 2015 dataset, with a mean precision of 0.968, mean dice coefficient (DC) of 0.943, mean recall of 0.924 and mean accuracy of 0.904. The experimental results show that our proposed approach significantly outperforms the state-of-the-art methods in terms of precision, DC, and recall. Quantitative evaluation was carried out and compared with the existing approaches, which demonstrates that the proposed method is 25.71%, 36.67%, and 16.96% higher in terms of precision, DC and recall values, respectively. The unsupervised features learned via SSAE framework performs better than the hand-crafted features and can be easily trained on large datasets.","author":[{"dropping-particle":"","family":"Praveen","given":"G. B.","non-dropping-particle":"","parse-names":false,"suffix":""},{"dropping-particle":"","family":"Agrawal","given":"Anita","non-dropping-particle":"","parse-names":false,"suffix":""},{"dropping-particle":"","family":"Sundaram","given":"Ponraj","non-dropping-particle":"","parse-names":false,"suffix":""},{"dropping-particle":"","family":"Sardesai","given":"Sanjay","non-dropping-particle":"","parse-names":false,"suffix":""}],"container-title":"Computers in Biology and Medicine","id":"ITEM-3","issued":{"date-parts":[["2018"]]},"title":"Ischemic stroke lesion segmentation using stacked sparse autoencoder","type":"article-journal"},"uris":["http://www.mendeley.com/documents/?uuid=d5554164-8a11-4bfa-8d91-74be7f0bc355"]},{"id":"ITEM-4","itemData":{"DOI":"10.1186/s12859-020-3465-2","ISSN":"14712105","PMID":"32299344","abstract":"Background: Recent years have witnessed an increasing interest in multi-omics data, because these data allow for better understanding complex diseases such as cancer on a molecular system level. In addition, multi-omics data increase the chance to robustly identify molecular patient sub-groups and hence open the door towards a better personalized treatment of diseases. Several methods have been proposed for unsupervised clustering of multi-omics data. However, a number of challenges remain, such as the magnitude of features and the large difference in dimensionality across different omics data sources. Results: We propose a multi-modal sparse denoising autoencoder framework coupled with sparse non-negative matrix factorization to robustly cluster patients based on multi-omics data. The proposed model specifically leverages pathway information to effectively reduce the dimensionality of omics data into a pathway and patient specific score profile. In consequence, our method allows us to understand, which pathway is a feature of which particular patient cluster. Moreover, recently proposed machine learning techniques allow us to disentangle the specific impact of each individual omics feature on a pathway score. We applied our method to cluster patients in several cancer datasets using gene expression, miRNA expression, DNA methylation and CNVs, demonstrating the possibility to obtain biologically plausible disease subtypes characterized by specific molecular features. Comparison against several competing methods showed a competitive clustering performance. In addition, post-hoc analysis of somatic mutations and clinical data provided supporting evidence and interpretation of the identified clusters. Conclusions: Our suggested multi-modal sparse denoising autoencoder approach allows for an effective and interpretable integration of multi-omics data on pathway level while addressing the high dimensional character of omics data. Patient specific pathway score profiles derived from our model allow for a robust identification of disease subgroups.","author":[{"dropping-particle":"","family":"Lemsara","given":"Amina","non-dropping-particle":"","parse-names":false,"suffix":""},{"dropping-particle":"","family":"Ouadfel","given":"Salima","non-dropping-particle":"","parse-names":false,"suffix":""},{"dropping-particle":"","family":"Fröhlich","given":"Holger","non-dropping-particle":"","parse-names":false,"suffix":""}],"container-title":"BMC Bioinformatics","id":"ITEM-4","issued":{"date-parts":[["2020"]]},"title":"PathME: Pathway based multi-modal sparse autoencoders for clustering of patient-level multi-omics data","type":"article-journal"},"uris":["http://www.mendeley.com/documents/?uuid=979aa40e-f965-4356-8728-2ce9e291d90c"]}],"mendeley":{"formattedCitation":"[35–38]","plainTextFormattedCitation":"[35–38]","previouslyFormattedCitation":"[35–38]"},"properties":{"noteIndex":0},"schema":"https://github.com/citation-style-language/schema/raw/master/csl-citation.json"}</w:instrText>
      </w:r>
      <w:r w:rsidR="004373C9">
        <w:rPr>
          <w:b w:val="0"/>
          <w:bCs/>
        </w:rPr>
        <w:fldChar w:fldCharType="separate"/>
      </w:r>
      <w:r w:rsidR="004373C9" w:rsidRPr="004373C9">
        <w:rPr>
          <w:b w:val="0"/>
          <w:bCs/>
          <w:noProof/>
        </w:rPr>
        <w:t>[35–38]</w:t>
      </w:r>
      <w:r w:rsidR="004373C9">
        <w:rPr>
          <w:b w:val="0"/>
          <w:bCs/>
        </w:rPr>
        <w:fldChar w:fldCharType="end"/>
      </w:r>
      <w:r w:rsidRPr="002815FF">
        <w:rPr>
          <w:b w:val="0"/>
          <w:bCs/>
        </w:rPr>
        <w:t xml:space="preserve"> </w:t>
      </w:r>
    </w:p>
    <w:p w14:paraId="681B62FE" w14:textId="41ABAF4E" w:rsidR="00D95930" w:rsidRDefault="00D95930" w:rsidP="00670620">
      <w:pPr>
        <w:pStyle w:val="AMIAHeading"/>
        <w:spacing w:line="480" w:lineRule="auto"/>
        <w:rPr>
          <w:b w:val="0"/>
          <w:bCs/>
        </w:rPr>
      </w:pPr>
      <w:r>
        <w:rPr>
          <w:b w:val="0"/>
          <w:bCs/>
        </w:rPr>
        <w:tab/>
      </w:r>
      <w:r w:rsidRPr="00D95930">
        <w:rPr>
          <w:b w:val="0"/>
          <w:bCs/>
        </w:rPr>
        <w:t xml:space="preserve">Our DPN-SA exploits a deep stacked sparse autoencoder to encode the covariate space </w:t>
      </w:r>
      <m:oMath>
        <m:r>
          <w:rPr>
            <w:rFonts w:ascii="Cambria Math" w:hAnsi="Cambria Math"/>
          </w:rPr>
          <m:t>X</m:t>
        </m:r>
      </m:oMath>
      <w:r w:rsidRPr="00D95930">
        <w:rPr>
          <w:b w:val="0"/>
          <w:bCs/>
        </w:rPr>
        <w:t xml:space="preserve"> into a lower dimensional, nonlinear feature representation. After training, the decoder is replaced by a </w:t>
      </w:r>
      <w:r w:rsidRPr="004229C0">
        <w:rPr>
          <w:b w:val="0"/>
          <w:bCs/>
          <w:i/>
          <w:iCs/>
        </w:rPr>
        <w:t>softmax</w:t>
      </w:r>
      <w:r w:rsidR="00DB497D">
        <w:rPr>
          <w:b w:val="0"/>
          <w:bCs/>
        </w:rPr>
        <w:t xml:space="preserve"> </w:t>
      </w:r>
      <w:r w:rsidRPr="00D95930">
        <w:rPr>
          <w:b w:val="0"/>
          <w:bCs/>
        </w:rPr>
        <w:t xml:space="preserve">classifier which calculates the probability of treatment </w:t>
      </w:r>
      <m:oMath>
        <m:r>
          <w:rPr>
            <w:rFonts w:ascii="Cambria Math" w:hAnsi="Cambria Math"/>
          </w:rPr>
          <m:t>T</m:t>
        </m:r>
      </m:oMath>
      <w:r w:rsidRPr="00D95930">
        <w:rPr>
          <w:b w:val="0"/>
          <w:bCs/>
        </w:rPr>
        <w:t xml:space="preserve"> assignment, thus estimating the propensity score </w:t>
      </w:r>
      <m:oMath>
        <m:r>
          <m:rPr>
            <m:sty m:val="p"/>
          </m:rPr>
          <w:rPr>
            <w:rFonts w:ascii="Cambria Math" w:hAnsi="Cambria Math"/>
          </w:rPr>
          <m:t>π</m:t>
        </m:r>
        <m:d>
          <m:dPr>
            <m:ctrlPr>
              <w:rPr>
                <w:rFonts w:ascii="Cambria Math" w:hAnsi="Cambria Math"/>
                <w:b w:val="0"/>
                <w:bCs/>
                <w:i/>
              </w:rPr>
            </m:ctrlPr>
          </m:dPr>
          <m:e>
            <m:r>
              <w:rPr>
                <w:rFonts w:ascii="Cambria Math" w:hAnsi="Cambria Math"/>
              </w:rPr>
              <m:t>X</m:t>
            </m:r>
          </m:e>
        </m:d>
      </m:oMath>
      <w:r w:rsidRPr="00D95930">
        <w:rPr>
          <w:b w:val="0"/>
          <w:bCs/>
        </w:rPr>
        <w:t xml:space="preserve">. The matching procedure uses the propensity dropout component of the DCN-PD, which is also used for ITE and ATE calculations. </w:t>
      </w:r>
      <w:r w:rsidRPr="00D95930">
        <w:rPr>
          <w:b w:val="0"/>
          <w:bCs/>
        </w:rPr>
        <w:lastRenderedPageBreak/>
        <w:t>Different training (end-to-end vs greedy stacked) procedures and layer (multiple vs single) architectures were tested on real and synthetic high-dimensional data, as detailed in the next sections.</w:t>
      </w:r>
    </w:p>
    <w:p w14:paraId="7271124F" w14:textId="77777777" w:rsidR="002F1C8B" w:rsidRDefault="002F1C8B" w:rsidP="00670620">
      <w:pPr>
        <w:pStyle w:val="AMIAHeading"/>
        <w:spacing w:line="480" w:lineRule="auto"/>
        <w:rPr>
          <w:b w:val="0"/>
          <w:bCs/>
        </w:rPr>
      </w:pPr>
    </w:p>
    <w:p w14:paraId="12F8C427" w14:textId="2EE92AA4" w:rsidR="00DB2327" w:rsidRPr="002815FF" w:rsidRDefault="005E50DB" w:rsidP="00670620">
      <w:pPr>
        <w:pStyle w:val="AMIAHeading"/>
        <w:spacing w:line="480" w:lineRule="auto"/>
        <w:rPr>
          <w:b w:val="0"/>
          <w:bCs/>
        </w:rPr>
      </w:pPr>
      <w:bookmarkStart w:id="1" w:name="Fig1"/>
      <w:r>
        <w:rPr>
          <w:b w:val="0"/>
          <w:bCs/>
          <w:noProof/>
        </w:rPr>
        <w:drawing>
          <wp:inline distT="0" distB="0" distL="0" distR="0" wp14:anchorId="42158F0C" wp14:editId="1C5F961F">
            <wp:extent cx="56769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76900" cy="3810000"/>
                    </a:xfrm>
                    <a:prstGeom prst="rect">
                      <a:avLst/>
                    </a:prstGeom>
                  </pic:spPr>
                </pic:pic>
              </a:graphicData>
            </a:graphic>
          </wp:inline>
        </w:drawing>
      </w:r>
      <w:bookmarkEnd w:id="1"/>
    </w:p>
    <w:p w14:paraId="72A0F56B" w14:textId="296021E0" w:rsidR="009D5626" w:rsidRPr="00003E98" w:rsidRDefault="00003E98" w:rsidP="00BD1820">
      <w:pPr>
        <w:pStyle w:val="AMIAHeading"/>
        <w:spacing w:line="480" w:lineRule="auto"/>
        <w:rPr>
          <w:b w:val="0"/>
          <w:bCs/>
          <w:sz w:val="15"/>
          <w:szCs w:val="15"/>
        </w:rPr>
      </w:pPr>
      <w:bookmarkStart w:id="2" w:name="Figure1"/>
      <w:r>
        <w:rPr>
          <w:b w:val="0"/>
          <w:bCs/>
          <w:sz w:val="15"/>
          <w:szCs w:val="15"/>
        </w:rPr>
        <w:t>Figure 1</w:t>
      </w:r>
      <w:bookmarkEnd w:id="2"/>
      <w:r>
        <w:rPr>
          <w:b w:val="0"/>
          <w:bCs/>
          <w:sz w:val="15"/>
          <w:szCs w:val="15"/>
        </w:rPr>
        <w:t xml:space="preserve">: </w:t>
      </w:r>
      <w:r w:rsidR="009D5626" w:rsidRPr="00003E98">
        <w:rPr>
          <w:b w:val="0"/>
          <w:bCs/>
          <w:sz w:val="15"/>
          <w:szCs w:val="15"/>
        </w:rPr>
        <w:t xml:space="preserve">Architecture of a deep stacked sparse autoencoder with the sparsity constraint enforced in the </w:t>
      </w:r>
      <m:oMath>
        <m:sSup>
          <m:sSupPr>
            <m:ctrlPr>
              <w:rPr>
                <w:rFonts w:ascii="Cambria Math" w:hAnsi="Cambria Math"/>
                <w:b w:val="0"/>
                <w:bCs/>
                <w:i/>
                <w:sz w:val="15"/>
                <w:szCs w:val="15"/>
              </w:rPr>
            </m:ctrlPr>
          </m:sSupPr>
          <m:e>
            <m:r>
              <w:rPr>
                <w:rFonts w:ascii="Cambria Math" w:hAnsi="Cambria Math"/>
                <w:sz w:val="15"/>
                <w:szCs w:val="15"/>
              </w:rPr>
              <m:t>2</m:t>
            </m:r>
          </m:e>
          <m:sup>
            <m:r>
              <w:rPr>
                <w:rFonts w:ascii="Cambria Math" w:hAnsi="Cambria Math"/>
                <w:sz w:val="15"/>
                <w:szCs w:val="15"/>
              </w:rPr>
              <m:t>nd</m:t>
            </m:r>
          </m:sup>
        </m:sSup>
      </m:oMath>
      <w:r w:rsidR="009D5626" w:rsidRPr="00003E98">
        <w:rPr>
          <w:b w:val="0"/>
          <w:bCs/>
          <w:sz w:val="15"/>
          <w:szCs w:val="15"/>
        </w:rPr>
        <w:t xml:space="preserve"> layer</w:t>
      </w:r>
      <w:r w:rsidR="00EC41C0">
        <w:rPr>
          <w:b w:val="0"/>
          <w:bCs/>
          <w:sz w:val="15"/>
          <w:szCs w:val="15"/>
        </w:rPr>
        <w:t xml:space="preserve"> (brighter</w:t>
      </w:r>
      <w:r w:rsidR="00EC41C0" w:rsidRPr="00003E98">
        <w:rPr>
          <w:b w:val="0"/>
          <w:bCs/>
          <w:sz w:val="15"/>
          <w:szCs w:val="15"/>
        </w:rPr>
        <w:t xml:space="preserve"> neurons are active</w:t>
      </w:r>
      <w:r w:rsidR="00EC41C0">
        <w:rPr>
          <w:b w:val="0"/>
          <w:bCs/>
          <w:sz w:val="15"/>
          <w:szCs w:val="15"/>
        </w:rPr>
        <w:t>)</w:t>
      </w:r>
    </w:p>
    <w:p w14:paraId="5700E7CA" w14:textId="4A3BC929" w:rsidR="00BD1820" w:rsidRPr="00AE3CF4" w:rsidRDefault="00BD1820" w:rsidP="00BD1820">
      <w:pPr>
        <w:pStyle w:val="AMIAHeading"/>
        <w:spacing w:line="480" w:lineRule="auto"/>
      </w:pPr>
      <w:r>
        <w:t xml:space="preserve">2.3 </w:t>
      </w:r>
      <w:r w:rsidRPr="00AE3CF4">
        <w:t>Architecture and Training of DPN-SA</w:t>
      </w:r>
    </w:p>
    <w:p w14:paraId="6A5F1AA5" w14:textId="77777777" w:rsidR="00F119F6" w:rsidRDefault="00D6220B" w:rsidP="00ED147C">
      <w:pPr>
        <w:pStyle w:val="AMIAHeading"/>
        <w:spacing w:line="480" w:lineRule="auto"/>
        <w:jc w:val="left"/>
        <w:rPr>
          <w:b w:val="0"/>
          <w:bCs/>
        </w:rPr>
      </w:pPr>
      <w:r w:rsidRPr="00D6220B">
        <w:rPr>
          <w:b w:val="0"/>
          <w:bCs/>
        </w:rPr>
        <w:t xml:space="preserve">A deep stacked sparse autoencoder consists of multiple encoders and decoders to learn the identity function of the feature vectors, stacked to each other, with the setup of sparsity constraints in the hidden layers, whose neurons can be activated or not depending on the input, as shown in </w:t>
      </w:r>
      <w:r w:rsidR="003C4D03" w:rsidRPr="003C4D03">
        <w:rPr>
          <w:b w:val="0"/>
          <w:bCs/>
        </w:rPr>
        <w:fldChar w:fldCharType="begin"/>
      </w:r>
      <w:r w:rsidR="003C4D03" w:rsidRPr="003C4D03">
        <w:rPr>
          <w:b w:val="0"/>
          <w:bCs/>
        </w:rPr>
        <w:instrText xml:space="preserve"> REF Figure1 \h </w:instrText>
      </w:r>
      <w:r w:rsidR="003C4D03" w:rsidRPr="003C4D03">
        <w:rPr>
          <w:b w:val="0"/>
          <w:bCs/>
        </w:rPr>
      </w:r>
      <w:r w:rsidR="003C4D03">
        <w:rPr>
          <w:b w:val="0"/>
          <w:bCs/>
        </w:rPr>
        <w:instrText xml:space="preserve"> \* MERGEFORMAT </w:instrText>
      </w:r>
      <w:r w:rsidR="003C4D03" w:rsidRPr="003C4D03">
        <w:rPr>
          <w:b w:val="0"/>
          <w:bCs/>
        </w:rPr>
        <w:fldChar w:fldCharType="separate"/>
      </w:r>
      <w:r w:rsidR="003C4D03" w:rsidRPr="003C4D03">
        <w:rPr>
          <w:b w:val="0"/>
          <w:bCs/>
        </w:rPr>
        <w:t>F</w:t>
      </w:r>
      <w:r w:rsidR="003C4D03" w:rsidRPr="003C4D03">
        <w:rPr>
          <w:b w:val="0"/>
          <w:bCs/>
        </w:rPr>
        <w:t>i</w:t>
      </w:r>
      <w:r w:rsidR="003C4D03" w:rsidRPr="003C4D03">
        <w:rPr>
          <w:b w:val="0"/>
          <w:bCs/>
        </w:rPr>
        <w:t>gu</w:t>
      </w:r>
      <w:r w:rsidR="003C4D03" w:rsidRPr="003C4D03">
        <w:rPr>
          <w:b w:val="0"/>
          <w:bCs/>
        </w:rPr>
        <w:t>r</w:t>
      </w:r>
      <w:r w:rsidR="003C4D03" w:rsidRPr="003C4D03">
        <w:rPr>
          <w:b w:val="0"/>
          <w:bCs/>
        </w:rPr>
        <w:t>e 1</w:t>
      </w:r>
      <w:r w:rsidR="003C4D03" w:rsidRPr="003C4D03">
        <w:rPr>
          <w:b w:val="0"/>
          <w:bCs/>
        </w:rPr>
        <w:fldChar w:fldCharType="end"/>
      </w:r>
      <w:r w:rsidR="00B24612">
        <w:rPr>
          <w:b w:val="0"/>
          <w:bCs/>
        </w:rPr>
        <w:t>.</w:t>
      </w:r>
      <w:r w:rsidR="00B11549">
        <w:rPr>
          <w:b w:val="0"/>
          <w:bCs/>
        </w:rPr>
        <w:t xml:space="preserve"> </w:t>
      </w:r>
    </w:p>
    <w:p w14:paraId="56AB2793" w14:textId="02BDEB2E" w:rsidR="006C29F3" w:rsidRDefault="006C29F3" w:rsidP="006C29F3">
      <w:pPr>
        <w:pStyle w:val="AMIAHeading"/>
        <w:spacing w:line="480" w:lineRule="auto"/>
        <w:rPr>
          <w:b w:val="0"/>
          <w:bCs/>
        </w:rPr>
      </w:pPr>
      <w:r>
        <w:rPr>
          <w:b w:val="0"/>
          <w:bCs/>
        </w:rPr>
        <w:tab/>
      </w:r>
      <w:r w:rsidRPr="006C29F3">
        <w:rPr>
          <w:b w:val="0"/>
          <w:bCs/>
        </w:rPr>
        <w:t xml:space="preserve">Let </w:t>
      </w:r>
      <m:oMath>
        <m:r>
          <w:rPr>
            <w:rFonts w:ascii="Cambria Math" w:hAnsi="Cambria Math"/>
          </w:rPr>
          <m:t>X=</m:t>
        </m:r>
        <m:r>
          <m:rPr>
            <m:lit/>
          </m:rPr>
          <w:rPr>
            <w:rFonts w:ascii="Cambria Math" w:hAnsi="Cambria Math"/>
          </w:rPr>
          <m:t>{</m:t>
        </m:r>
        <m:r>
          <w:rPr>
            <w:rFonts w:ascii="Cambria Math" w:hAnsi="Cambria Math"/>
          </w:rPr>
          <m:t>x</m:t>
        </m:r>
        <m:d>
          <m:dPr>
            <m:ctrlPr>
              <w:rPr>
                <w:rFonts w:ascii="Cambria Math" w:hAnsi="Cambria Math"/>
                <w:b w:val="0"/>
                <w:bCs/>
                <w:i/>
              </w:rPr>
            </m:ctrlPr>
          </m:dPr>
          <m:e>
            <m:r>
              <w:rPr>
                <w:rFonts w:ascii="Cambria Math" w:hAnsi="Cambria Math"/>
              </w:rPr>
              <m:t>1</m:t>
            </m:r>
          </m:e>
        </m:d>
        <m:r>
          <w:rPr>
            <w:rFonts w:ascii="Cambria Math" w:hAnsi="Cambria Math"/>
          </w:rPr>
          <m:t>,x</m:t>
        </m:r>
        <m:d>
          <m:dPr>
            <m:ctrlPr>
              <w:rPr>
                <w:rFonts w:ascii="Cambria Math" w:hAnsi="Cambria Math"/>
                <w:b w:val="0"/>
                <w:bCs/>
                <w:i/>
              </w:rPr>
            </m:ctrlPr>
          </m:dPr>
          <m:e>
            <m:r>
              <w:rPr>
                <w:rFonts w:ascii="Cambria Math" w:hAnsi="Cambria Math"/>
              </w:rPr>
              <m:t>2</m:t>
            </m:r>
          </m:e>
        </m:d>
        <m:r>
          <w:rPr>
            <w:rFonts w:ascii="Cambria Math" w:hAnsi="Cambria Math"/>
          </w:rPr>
          <m:t>,…,x</m:t>
        </m:r>
        <m:d>
          <m:dPr>
            <m:ctrlPr>
              <w:rPr>
                <w:rFonts w:ascii="Cambria Math" w:hAnsi="Cambria Math"/>
                <w:b w:val="0"/>
                <w:bCs/>
                <w:i/>
              </w:rPr>
            </m:ctrlPr>
          </m:dPr>
          <m:e>
            <m:r>
              <w:rPr>
                <w:rFonts w:ascii="Cambria Math" w:hAnsi="Cambria Math"/>
              </w:rPr>
              <m:t>N</m:t>
            </m:r>
          </m:e>
        </m:d>
        <m:r>
          <m:rPr>
            <m:lit/>
          </m:rPr>
          <w:rPr>
            <w:rFonts w:ascii="Cambria Math" w:hAnsi="Cambria Math"/>
          </w:rPr>
          <m:t>}</m:t>
        </m:r>
      </m:oMath>
      <w:r w:rsidRPr="006C29F3">
        <w:rPr>
          <w:b w:val="0"/>
          <w:bCs/>
        </w:rPr>
        <w:t xml:space="preserve"> represent the population of $x(i)$ individuals </w:t>
      </w:r>
      <m:oMath>
        <m:r>
          <w:rPr>
            <w:rFonts w:ascii="Cambria Math" w:hAnsi="Cambria Math"/>
          </w:rPr>
          <m:t>(j=1</m:t>
        </m:r>
        <m:r>
          <w:rPr>
            <w:rFonts w:ascii="Cambria Math" w:hAnsi="Cambria Math"/>
          </w:rPr>
          <m:t>…</m:t>
        </m:r>
        <m:r>
          <w:rPr>
            <w:rFonts w:ascii="Cambria Math" w:hAnsi="Cambria Math"/>
          </w:rPr>
          <m:t>N</m:t>
        </m:r>
      </m:oMath>
      <w:r w:rsidRPr="006C29F3">
        <w:rPr>
          <w:b w:val="0"/>
          <w:bCs/>
        </w:rPr>
        <w:t xml:space="preserve"> i.i.d samples). Each </w:t>
      </w:r>
      <m:oMath>
        <m:r>
          <w:rPr>
            <w:rFonts w:ascii="Cambria Math" w:hAnsi="Cambria Math"/>
          </w:rPr>
          <m:t>x</m:t>
        </m:r>
        <m:d>
          <m:dPr>
            <m:ctrlPr>
              <w:rPr>
                <w:rFonts w:ascii="Cambria Math" w:hAnsi="Cambria Math"/>
                <w:b w:val="0"/>
                <w:bCs/>
                <w:i/>
              </w:rPr>
            </m:ctrlPr>
          </m:dPr>
          <m:e>
            <m:r>
              <w:rPr>
                <w:rFonts w:ascii="Cambria Math" w:hAnsi="Cambria Math"/>
              </w:rPr>
              <m:t>i</m:t>
            </m:r>
          </m:e>
        </m:d>
        <m:r>
          <m:rPr>
            <m:sty m:val="p"/>
          </m:rPr>
          <w:rPr>
            <w:rFonts w:ascii="Cambria Math" w:hAnsi="Cambria Math"/>
          </w:rPr>
          <m:t>∈</m:t>
        </m:r>
        <m:sSup>
          <m:sSupPr>
            <m:ctrlPr>
              <w:rPr>
                <w:rFonts w:ascii="Cambria Math" w:hAnsi="Cambria Math"/>
                <w:b w:val="0"/>
                <w:bCs/>
                <w:i/>
              </w:rPr>
            </m:ctrlPr>
          </m:sSupPr>
          <m:e>
            <m:r>
              <w:rPr>
                <w:rFonts w:ascii="Cambria Math" w:hAnsi="Cambria Math"/>
              </w:rPr>
              <m:t>R</m:t>
            </m:r>
          </m:e>
          <m:sup>
            <m:r>
              <w:rPr>
                <w:rFonts w:ascii="Cambria Math" w:hAnsi="Cambria Math"/>
              </w:rPr>
              <m:t>d</m:t>
            </m:r>
          </m:sup>
        </m:sSup>
      </m:oMath>
      <w:r w:rsidRPr="006C29F3">
        <w:rPr>
          <w:b w:val="0"/>
          <w:bCs/>
        </w:rPr>
        <w:t xml:space="preserve"> is a </w:t>
      </w:r>
      <m:oMath>
        <m:r>
          <w:rPr>
            <w:rFonts w:ascii="Cambria Math" w:hAnsi="Cambria Math"/>
          </w:rPr>
          <m:t>d</m:t>
        </m:r>
        <m:r>
          <w:rPr>
            <w:rFonts w:ascii="Cambria Math" w:hAnsi="Cambria Math"/>
          </w:rPr>
          <m:t xml:space="preserve"> </m:t>
        </m:r>
        <m:r>
          <w:rPr>
            <w:rFonts w:ascii="Cambria Math" w:hAnsi="Cambria Math"/>
          </w:rPr>
          <m:t>-</m:t>
        </m:r>
        <m:r>
          <w:rPr>
            <w:rFonts w:ascii="Cambria Math" w:hAnsi="Cambria Math"/>
          </w:rPr>
          <m:t xml:space="preserve"> </m:t>
        </m:r>
      </m:oMath>
      <w:r w:rsidRPr="006C29F3">
        <w:rPr>
          <w:b w:val="0"/>
          <w:bCs/>
        </w:rPr>
        <w:t xml:space="preserve">dimensional vector, where </w:t>
      </w:r>
      <m:oMath>
        <m:r>
          <w:rPr>
            <w:rFonts w:ascii="Cambria Math" w:hAnsi="Cambria Math"/>
          </w:rPr>
          <m:t>d</m:t>
        </m:r>
      </m:oMath>
      <w:r w:rsidRPr="006C29F3">
        <w:rPr>
          <w:b w:val="0"/>
          <w:bCs/>
        </w:rPr>
        <w:t xml:space="preserve"> represents the number of pre-treatment covariates, i.e. the number of features. The DPN-SA uses up to </w:t>
      </w:r>
      <m:oMath>
        <m:r>
          <w:rPr>
            <w:rFonts w:ascii="Cambria Math" w:hAnsi="Cambria Math"/>
          </w:rPr>
          <m:t>l</m:t>
        </m:r>
      </m:oMath>
      <w:r w:rsidRPr="006C29F3">
        <w:rPr>
          <w:b w:val="0"/>
          <w:bCs/>
        </w:rPr>
        <w:t xml:space="preserve"> encoder and </w:t>
      </w:r>
      <m:oMath>
        <m:r>
          <w:rPr>
            <w:rFonts w:ascii="Cambria Math" w:hAnsi="Cambria Math"/>
          </w:rPr>
          <m:t>l</m:t>
        </m:r>
        <m:r>
          <w:rPr>
            <w:rFonts w:ascii="Cambria Math" w:hAnsi="Cambria Math"/>
          </w:rPr>
          <m:t xml:space="preserve"> </m:t>
        </m:r>
      </m:oMath>
      <w:r w:rsidRPr="006C29F3">
        <w:rPr>
          <w:b w:val="0"/>
          <w:bCs/>
        </w:rPr>
        <w:t xml:space="preserve">decoder layers stacked together one after the other, with an additional linear layer at the end of the last decoder. The activation function of each encoder and decoder is the hyperbolic tangent </w:t>
      </w:r>
      <w:r w:rsidRPr="006C29F3">
        <w:rPr>
          <w:b w:val="0"/>
          <w:bCs/>
        </w:rPr>
        <w:lastRenderedPageBreak/>
        <w:t>layer</w:t>
      </w:r>
      <m:oMath>
        <m:r>
          <w:rPr>
            <w:rFonts w:ascii="Cambria Math" w:hAnsi="Cambria Math"/>
          </w:rPr>
          <m:t xml:space="preserve"> </m:t>
        </m:r>
        <m:r>
          <w:rPr>
            <w:rFonts w:ascii="Cambria Math" w:hAnsi="Cambria Math"/>
          </w:rPr>
          <m:t>tanh</m:t>
        </m:r>
      </m:oMath>
      <w:r w:rsidRPr="006C29F3">
        <w:rPr>
          <w:b w:val="0"/>
          <w:bCs/>
        </w:rPr>
        <w:t xml:space="preserve">. As </w:t>
      </w:r>
      <m:oMath>
        <m:r>
          <w:rPr>
            <w:rFonts w:ascii="Cambria Math" w:hAnsi="Cambria Math"/>
          </w:rPr>
          <m:t>x</m:t>
        </m:r>
        <m:d>
          <m:dPr>
            <m:ctrlPr>
              <w:rPr>
                <w:rFonts w:ascii="Cambria Math" w:hAnsi="Cambria Math"/>
                <w:b w:val="0"/>
                <w:bCs/>
                <w:i/>
              </w:rPr>
            </m:ctrlPr>
          </m:dPr>
          <m:e>
            <m:r>
              <w:rPr>
                <w:rFonts w:ascii="Cambria Math" w:hAnsi="Cambria Math"/>
              </w:rPr>
              <m:t>i</m:t>
            </m:r>
          </m:e>
        </m:d>
        <m:r>
          <m:rPr>
            <m:sty m:val="p"/>
          </m:rPr>
          <w:rPr>
            <w:rFonts w:ascii="Cambria Math" w:hAnsi="Cambria Math"/>
          </w:rPr>
          <m:t>∈</m:t>
        </m:r>
        <m:sSup>
          <m:sSupPr>
            <m:ctrlPr>
              <w:rPr>
                <w:rFonts w:ascii="Cambria Math" w:hAnsi="Cambria Math"/>
                <w:b w:val="0"/>
                <w:bCs/>
                <w:i/>
              </w:rPr>
            </m:ctrlPr>
          </m:sSupPr>
          <m:e>
            <m:r>
              <w:rPr>
                <w:rFonts w:ascii="Cambria Math" w:hAnsi="Cambria Math"/>
              </w:rPr>
              <m:t>R</m:t>
            </m:r>
          </m:e>
          <m:sup>
            <m:r>
              <w:rPr>
                <w:rFonts w:ascii="Cambria Math" w:hAnsi="Cambria Math"/>
              </w:rPr>
              <m:t>d</m:t>
            </m:r>
          </m:sup>
        </m:sSup>
      </m:oMath>
      <w:r w:rsidRPr="006C29F3">
        <w:rPr>
          <w:b w:val="0"/>
          <w:bCs/>
        </w:rPr>
        <w:t xml:space="preserve">, the reconstructed output also needs to be </w:t>
      </w:r>
      <m:oMath>
        <m:sSup>
          <m:sSupPr>
            <m:ctrlPr>
              <w:rPr>
                <w:rFonts w:ascii="Cambria Math" w:hAnsi="Cambria Math"/>
                <w:b w:val="0"/>
                <w:bCs/>
                <w:i/>
              </w:rPr>
            </m:ctrlPr>
          </m:sSupPr>
          <m:e>
            <m:r>
              <w:rPr>
                <w:rFonts w:ascii="Cambria Math" w:hAnsi="Cambria Math"/>
              </w:rPr>
              <m:t>x</m:t>
            </m:r>
          </m:e>
          <m:sup>
            <m:r>
              <w:rPr>
                <w:rFonts w:ascii="Cambria Math" w:hAnsi="Cambria Math"/>
              </w:rPr>
              <m:t>'</m:t>
            </m:r>
          </m:sup>
        </m:sSup>
        <m:d>
          <m:dPr>
            <m:ctrlPr>
              <w:rPr>
                <w:rFonts w:ascii="Cambria Math" w:hAnsi="Cambria Math"/>
                <w:b w:val="0"/>
                <w:bCs/>
                <w:i/>
              </w:rPr>
            </m:ctrlPr>
          </m:dPr>
          <m:e>
            <m:r>
              <w:rPr>
                <w:rFonts w:ascii="Cambria Math" w:hAnsi="Cambria Math"/>
              </w:rPr>
              <m:t>i</m:t>
            </m:r>
          </m:e>
        </m:d>
        <m:r>
          <m:rPr>
            <m:sty m:val="p"/>
          </m:rPr>
          <w:rPr>
            <w:rFonts w:ascii="Cambria Math" w:hAnsi="Cambria Math"/>
          </w:rPr>
          <m:t>∈</m:t>
        </m:r>
        <m:sSup>
          <m:sSupPr>
            <m:ctrlPr>
              <w:rPr>
                <w:rFonts w:ascii="Cambria Math" w:hAnsi="Cambria Math"/>
                <w:b w:val="0"/>
                <w:bCs/>
                <w:i/>
              </w:rPr>
            </m:ctrlPr>
          </m:sSupPr>
          <m:e>
            <m:r>
              <w:rPr>
                <w:rFonts w:ascii="Cambria Math" w:hAnsi="Cambria Math"/>
              </w:rPr>
              <m:t>R</m:t>
            </m:r>
          </m:e>
          <m:sup>
            <m:r>
              <w:rPr>
                <w:rFonts w:ascii="Cambria Math" w:hAnsi="Cambria Math"/>
              </w:rPr>
              <m:t>d</m:t>
            </m:r>
          </m:sup>
        </m:sSup>
      </m:oMath>
      <w:r w:rsidRPr="006C29F3">
        <w:rPr>
          <w:b w:val="0"/>
          <w:bCs/>
        </w:rPr>
        <w:t xml:space="preserve">. Supposing we set </w:t>
      </w:r>
      <m:oMath>
        <m:r>
          <w:rPr>
            <w:rFonts w:ascii="Cambria Math" w:hAnsi="Cambria Math"/>
          </w:rPr>
          <m:t>l=2</m:t>
        </m:r>
      </m:oMath>
      <w:r w:rsidRPr="006C29F3">
        <w:rPr>
          <w:b w:val="0"/>
          <w:bCs/>
        </w:rPr>
        <w:t>, the sample input covariate vector $x(i)$ is reconstructed in the forward propagation as follows:</w:t>
      </w:r>
    </w:p>
    <w:p w14:paraId="7CA57F19" w14:textId="77777777" w:rsidR="00B40B01" w:rsidRDefault="00B40B01" w:rsidP="006C29F3">
      <w:pPr>
        <w:pStyle w:val="AMIAHeading"/>
        <w:spacing w:line="480" w:lineRule="auto"/>
        <w:rPr>
          <w:b w:val="0"/>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8E354C" w14:paraId="30D57EF8" w14:textId="77777777" w:rsidTr="00E84CF5">
        <w:trPr>
          <w:trHeight w:val="674"/>
        </w:trPr>
        <w:tc>
          <w:tcPr>
            <w:tcW w:w="1075" w:type="dxa"/>
          </w:tcPr>
          <w:p w14:paraId="3B2749E7" w14:textId="77777777" w:rsidR="008E354C" w:rsidRDefault="008E354C" w:rsidP="00E84CF5">
            <w:pPr>
              <w:spacing w:line="480" w:lineRule="auto"/>
              <w:jc w:val="center"/>
              <w:rPr>
                <w:sz w:val="20"/>
                <w:szCs w:val="20"/>
              </w:rPr>
            </w:pPr>
          </w:p>
        </w:tc>
        <w:tc>
          <w:tcPr>
            <w:tcW w:w="7110" w:type="dxa"/>
          </w:tcPr>
          <w:p w14:paraId="70201809" w14:textId="7A7402A4" w:rsidR="008E354C" w:rsidRDefault="00AB6343" w:rsidP="00416C68">
            <w:pPr>
              <w:spacing w:line="480" w:lineRule="auto"/>
              <w:jc w:val="center"/>
              <w:rPr>
                <w:sz w:val="20"/>
                <w:szCs w:val="20"/>
              </w:rPr>
            </w:pPr>
            <m:oMathPara>
              <m:oMath>
                <m:sSup>
                  <m:sSupPr>
                    <m:ctrlPr>
                      <w:rPr>
                        <w:rFonts w:ascii="Cambria Math" w:hAnsi="Cambria Math"/>
                        <w:i/>
                        <w:iCs/>
                        <w:sz w:val="20"/>
                        <w:szCs w:val="20"/>
                      </w:rPr>
                    </m:ctrlPr>
                  </m:sSupPr>
                  <m:e>
                    <m:r>
                      <w:rPr>
                        <w:rFonts w:ascii="Cambria Math" w:hAnsi="Cambria Math"/>
                        <w:sz w:val="20"/>
                        <w:szCs w:val="20"/>
                      </w:rPr>
                      <m:t>e</m:t>
                    </m:r>
                  </m:e>
                  <m:sup>
                    <m:d>
                      <m:dPr>
                        <m:ctrlPr>
                          <w:rPr>
                            <w:rFonts w:ascii="Cambria Math" w:hAnsi="Cambria Math"/>
                            <w:i/>
                            <w:iCs/>
                            <w:sz w:val="20"/>
                            <w:szCs w:val="20"/>
                          </w:rPr>
                        </m:ctrlPr>
                      </m:dPr>
                      <m:e>
                        <m:r>
                          <w:rPr>
                            <w:rFonts w:ascii="Cambria Math" w:hAnsi="Cambria Math"/>
                            <w:sz w:val="20"/>
                            <w:szCs w:val="20"/>
                          </w:rPr>
                          <m:t>1</m:t>
                        </m:r>
                      </m:e>
                    </m:d>
                  </m:sup>
                </m:sSup>
                <m:d>
                  <m:dPr>
                    <m:ctrlPr>
                      <w:rPr>
                        <w:rFonts w:ascii="Cambria Math" w:hAnsi="Cambria Math"/>
                        <w:i/>
                        <w:iCs/>
                        <w:sz w:val="20"/>
                        <w:szCs w:val="20"/>
                      </w:rPr>
                    </m:ctrlPr>
                  </m:dPr>
                  <m:e>
                    <m:r>
                      <w:rPr>
                        <w:rFonts w:ascii="Cambria Math" w:hAnsi="Cambria Math"/>
                        <w:sz w:val="20"/>
                        <w:szCs w:val="20"/>
                      </w:rPr>
                      <m:t>i</m:t>
                    </m:r>
                  </m:e>
                </m:d>
                <m:r>
                  <w:rPr>
                    <w:rFonts w:ascii="Cambria Math" w:hAnsi="Cambria Math"/>
                    <w:sz w:val="20"/>
                    <w:szCs w:val="20"/>
                  </w:rPr>
                  <m:t>=f</m:t>
                </m:r>
                <m:d>
                  <m:dPr>
                    <m:ctrlPr>
                      <w:rPr>
                        <w:rFonts w:ascii="Cambria Math" w:hAnsi="Cambria Math"/>
                        <w:i/>
                        <w:iCs/>
                        <w:sz w:val="20"/>
                        <w:szCs w:val="20"/>
                      </w:rPr>
                    </m:ctrlPr>
                  </m:dPr>
                  <m:e>
                    <m:sSup>
                      <m:sSupPr>
                        <m:ctrlPr>
                          <w:rPr>
                            <w:rFonts w:ascii="Cambria Math" w:hAnsi="Cambria Math"/>
                            <w:i/>
                            <w:iCs/>
                            <w:sz w:val="20"/>
                            <w:szCs w:val="20"/>
                          </w:rPr>
                        </m:ctrlPr>
                      </m:sSupPr>
                      <m:e>
                        <m:r>
                          <w:rPr>
                            <w:rFonts w:ascii="Cambria Math" w:hAnsi="Cambria Math"/>
                            <w:sz w:val="20"/>
                            <w:szCs w:val="20"/>
                          </w:rPr>
                          <m:t>W</m:t>
                        </m:r>
                      </m:e>
                      <m:sup>
                        <m:d>
                          <m:dPr>
                            <m:ctrlPr>
                              <w:rPr>
                                <w:rFonts w:ascii="Cambria Math" w:hAnsi="Cambria Math"/>
                                <w:i/>
                                <w:iCs/>
                                <w:sz w:val="20"/>
                                <w:szCs w:val="20"/>
                              </w:rPr>
                            </m:ctrlPr>
                          </m:dPr>
                          <m:e>
                            <m:r>
                              <w:rPr>
                                <w:rFonts w:ascii="Cambria Math" w:hAnsi="Cambria Math"/>
                                <w:sz w:val="20"/>
                                <w:szCs w:val="20"/>
                              </w:rPr>
                              <m:t>1</m:t>
                            </m:r>
                          </m:e>
                        </m:d>
                      </m:sup>
                    </m:sSup>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b</m:t>
                        </m:r>
                      </m:e>
                      <m:sup>
                        <m:d>
                          <m:dPr>
                            <m:ctrlPr>
                              <w:rPr>
                                <w:rFonts w:ascii="Cambria Math" w:hAnsi="Cambria Math"/>
                                <w:i/>
                                <w:iCs/>
                                <w:sz w:val="20"/>
                                <w:szCs w:val="20"/>
                              </w:rPr>
                            </m:ctrlPr>
                          </m:dPr>
                          <m:e>
                            <m:r>
                              <w:rPr>
                                <w:rFonts w:ascii="Cambria Math" w:hAnsi="Cambria Math"/>
                                <w:sz w:val="20"/>
                                <w:szCs w:val="20"/>
                              </w:rPr>
                              <m:t>1</m:t>
                            </m:r>
                          </m:e>
                        </m:d>
                      </m:sup>
                    </m:sSup>
                  </m:e>
                </m:d>
              </m:oMath>
            </m:oMathPara>
          </w:p>
        </w:tc>
        <w:tc>
          <w:tcPr>
            <w:tcW w:w="1165" w:type="dxa"/>
          </w:tcPr>
          <w:p w14:paraId="1A46FFF1" w14:textId="1AB6D78E" w:rsidR="00416C68" w:rsidRDefault="008E354C" w:rsidP="00416C6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4</w:t>
            </w:r>
            <w:r>
              <w:rPr>
                <w:sz w:val="20"/>
                <w:szCs w:val="20"/>
              </w:rPr>
              <w:fldChar w:fldCharType="end"/>
            </w:r>
            <w:r>
              <w:rPr>
                <w:sz w:val="20"/>
                <w:szCs w:val="20"/>
              </w:rPr>
              <w:t>)</w:t>
            </w:r>
          </w:p>
        </w:tc>
      </w:tr>
      <w:tr w:rsidR="00416C68" w14:paraId="1F4266D1" w14:textId="77777777" w:rsidTr="00114B88">
        <w:trPr>
          <w:trHeight w:val="674"/>
        </w:trPr>
        <w:tc>
          <w:tcPr>
            <w:tcW w:w="1075" w:type="dxa"/>
          </w:tcPr>
          <w:p w14:paraId="53384BEA" w14:textId="3D94054E" w:rsidR="00416C68" w:rsidRPr="00416C68" w:rsidRDefault="00416C68" w:rsidP="00416C68">
            <w:pPr>
              <w:rPr>
                <w:sz w:val="20"/>
                <w:szCs w:val="20"/>
              </w:rPr>
            </w:pPr>
          </w:p>
        </w:tc>
        <w:tc>
          <w:tcPr>
            <w:tcW w:w="7110" w:type="dxa"/>
          </w:tcPr>
          <w:p w14:paraId="73FD1A56" w14:textId="326C7425" w:rsidR="00416C68" w:rsidRDefault="0051259D" w:rsidP="00416C68">
            <w:pPr>
              <w:spacing w:line="480" w:lineRule="auto"/>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i/>
                            <w:sz w:val="20"/>
                            <w:szCs w:val="20"/>
                          </w:rPr>
                        </m:ctrlPr>
                      </m:dPr>
                      <m:e>
                        <m:r>
                          <w:rPr>
                            <w:rFonts w:ascii="Cambria Math" w:hAnsi="Cambria Math"/>
                            <w:sz w:val="20"/>
                            <w:szCs w:val="20"/>
                          </w:rPr>
                          <m:t>2</m:t>
                        </m:r>
                      </m:e>
                    </m:d>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=f</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2</m:t>
                            </m:r>
                          </m:e>
                        </m:d>
                      </m:sup>
                    </m:sSup>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2</m:t>
                            </m:r>
                          </m:e>
                        </m:d>
                      </m:sup>
                    </m:sSup>
                  </m:e>
                </m:d>
              </m:oMath>
            </m:oMathPara>
          </w:p>
        </w:tc>
        <w:tc>
          <w:tcPr>
            <w:tcW w:w="1165" w:type="dxa"/>
          </w:tcPr>
          <w:p w14:paraId="4FE85645" w14:textId="2E423CD7" w:rsidR="00416C68" w:rsidRDefault="00416C68"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5</w:t>
            </w:r>
            <w:r>
              <w:rPr>
                <w:sz w:val="20"/>
                <w:szCs w:val="20"/>
              </w:rPr>
              <w:fldChar w:fldCharType="end"/>
            </w:r>
            <w:r>
              <w:rPr>
                <w:sz w:val="20"/>
                <w:szCs w:val="20"/>
              </w:rPr>
              <w:t>)</w:t>
            </w:r>
          </w:p>
        </w:tc>
      </w:tr>
      <w:tr w:rsidR="00416C68" w14:paraId="663F7354" w14:textId="77777777" w:rsidTr="00114B88">
        <w:trPr>
          <w:trHeight w:val="674"/>
        </w:trPr>
        <w:tc>
          <w:tcPr>
            <w:tcW w:w="1075" w:type="dxa"/>
          </w:tcPr>
          <w:p w14:paraId="45334C38" w14:textId="77777777" w:rsidR="00416C68" w:rsidRDefault="00416C68" w:rsidP="00416C68">
            <w:pPr>
              <w:spacing w:line="480" w:lineRule="auto"/>
              <w:rPr>
                <w:sz w:val="20"/>
                <w:szCs w:val="20"/>
              </w:rPr>
            </w:pPr>
          </w:p>
        </w:tc>
        <w:tc>
          <w:tcPr>
            <w:tcW w:w="7110" w:type="dxa"/>
          </w:tcPr>
          <w:p w14:paraId="03DD522B" w14:textId="5027F40F" w:rsidR="00416C68" w:rsidRDefault="0051259D" w:rsidP="0045625D">
            <w:pPr>
              <w:spacing w:line="480" w:lineRule="auto"/>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d</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=f</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2</m:t>
                            </m:r>
                          </m:e>
                        </m:d>
                        <m:r>
                          <w:rPr>
                            <w:rFonts w:ascii="Cambria Math" w:hAnsi="Cambria Math"/>
                            <w:sz w:val="20"/>
                            <w:szCs w:val="20"/>
                          </w:rPr>
                          <m:t>T</m:t>
                        </m:r>
                      </m:sup>
                    </m:sSup>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i/>
                                <w:sz w:val="20"/>
                                <w:szCs w:val="20"/>
                              </w:rPr>
                            </m:ctrlPr>
                          </m:dPr>
                          <m:e>
                            <m:r>
                              <w:rPr>
                                <w:rFonts w:ascii="Cambria Math" w:hAnsi="Cambria Math"/>
                                <w:sz w:val="20"/>
                                <w:szCs w:val="20"/>
                              </w:rPr>
                              <m:t>2</m:t>
                            </m:r>
                          </m:e>
                        </m:d>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3</m:t>
                            </m:r>
                          </m:e>
                        </m:d>
                      </m:sup>
                    </m:sSup>
                  </m:e>
                </m:d>
              </m:oMath>
            </m:oMathPara>
          </w:p>
        </w:tc>
        <w:tc>
          <w:tcPr>
            <w:tcW w:w="1165" w:type="dxa"/>
          </w:tcPr>
          <w:p w14:paraId="5CA5F89C" w14:textId="28AD38D7" w:rsidR="00416C68" w:rsidRDefault="00416C68"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6</w:t>
            </w:r>
            <w:r>
              <w:rPr>
                <w:sz w:val="20"/>
                <w:szCs w:val="20"/>
              </w:rPr>
              <w:fldChar w:fldCharType="end"/>
            </w:r>
            <w:r>
              <w:rPr>
                <w:sz w:val="20"/>
                <w:szCs w:val="20"/>
              </w:rPr>
              <w:t>)</w:t>
            </w:r>
          </w:p>
        </w:tc>
      </w:tr>
      <w:tr w:rsidR="0045625D" w14:paraId="7E924E3D" w14:textId="77777777" w:rsidTr="00114B88">
        <w:trPr>
          <w:trHeight w:val="674"/>
        </w:trPr>
        <w:tc>
          <w:tcPr>
            <w:tcW w:w="1075" w:type="dxa"/>
          </w:tcPr>
          <w:p w14:paraId="51FBF759" w14:textId="77777777" w:rsidR="0045625D" w:rsidRDefault="0045625D" w:rsidP="00114B88">
            <w:pPr>
              <w:spacing w:line="480" w:lineRule="auto"/>
              <w:jc w:val="center"/>
              <w:rPr>
                <w:sz w:val="20"/>
                <w:szCs w:val="20"/>
              </w:rPr>
            </w:pPr>
          </w:p>
        </w:tc>
        <w:tc>
          <w:tcPr>
            <w:tcW w:w="7110" w:type="dxa"/>
          </w:tcPr>
          <w:p w14:paraId="06454D5F" w14:textId="72128457" w:rsidR="0045625D" w:rsidRDefault="0051259D" w:rsidP="00BA01D7">
            <w:pPr>
              <w:spacing w:line="480" w:lineRule="auto"/>
              <w:jc w:val="center"/>
              <w:rPr>
                <w:sz w:val="20"/>
                <w:szCs w:val="20"/>
              </w:rPr>
            </w:pPr>
            <m:oMathPara>
              <m:oMath>
                <m:sSup>
                  <m:sSupPr>
                    <m:ctrlPr>
                      <w:rPr>
                        <w:rFonts w:ascii="Cambria Math" w:hAnsi="Cambria Math"/>
                        <w:i/>
                        <w:iCs/>
                        <w:sz w:val="20"/>
                        <w:szCs w:val="20"/>
                      </w:rPr>
                    </m:ctrlPr>
                  </m:sSupPr>
                  <m:e>
                    <m:r>
                      <w:rPr>
                        <w:rFonts w:ascii="Cambria Math" w:hAnsi="Cambria Math"/>
                        <w:sz w:val="20"/>
                        <w:szCs w:val="20"/>
                      </w:rPr>
                      <m:t>d</m:t>
                    </m:r>
                  </m:e>
                  <m:sup>
                    <m:d>
                      <m:dPr>
                        <m:ctrlPr>
                          <w:rPr>
                            <w:rFonts w:ascii="Cambria Math" w:hAnsi="Cambria Math"/>
                            <w:i/>
                            <w:iCs/>
                            <w:sz w:val="20"/>
                            <w:szCs w:val="20"/>
                          </w:rPr>
                        </m:ctrlPr>
                      </m:dPr>
                      <m:e>
                        <m:r>
                          <w:rPr>
                            <w:rFonts w:ascii="Cambria Math" w:hAnsi="Cambria Math"/>
                            <w:sz w:val="20"/>
                            <w:szCs w:val="20"/>
                          </w:rPr>
                          <m:t>2</m:t>
                        </m:r>
                      </m:e>
                    </m:d>
                  </m:sup>
                </m:sSup>
                <m:d>
                  <m:dPr>
                    <m:ctrlPr>
                      <w:rPr>
                        <w:rFonts w:ascii="Cambria Math" w:hAnsi="Cambria Math"/>
                        <w:i/>
                        <w:iCs/>
                        <w:sz w:val="20"/>
                        <w:szCs w:val="20"/>
                      </w:rPr>
                    </m:ctrlPr>
                  </m:dPr>
                  <m:e>
                    <m:r>
                      <w:rPr>
                        <w:rFonts w:ascii="Cambria Math" w:hAnsi="Cambria Math"/>
                        <w:sz w:val="20"/>
                        <w:szCs w:val="20"/>
                      </w:rPr>
                      <m:t>i</m:t>
                    </m:r>
                  </m:e>
                </m:d>
                <m:r>
                  <w:rPr>
                    <w:rFonts w:ascii="Cambria Math" w:hAnsi="Cambria Math"/>
                    <w:sz w:val="20"/>
                    <w:szCs w:val="20"/>
                  </w:rPr>
                  <m:t>=f</m:t>
                </m:r>
                <m:d>
                  <m:dPr>
                    <m:ctrlPr>
                      <w:rPr>
                        <w:rFonts w:ascii="Cambria Math" w:hAnsi="Cambria Math"/>
                        <w:i/>
                        <w:iCs/>
                        <w:sz w:val="20"/>
                        <w:szCs w:val="20"/>
                      </w:rPr>
                    </m:ctrlPr>
                  </m:dPr>
                  <m:e>
                    <m:sSup>
                      <m:sSupPr>
                        <m:ctrlPr>
                          <w:rPr>
                            <w:rFonts w:ascii="Cambria Math" w:hAnsi="Cambria Math"/>
                            <w:i/>
                            <w:iCs/>
                            <w:sz w:val="20"/>
                            <w:szCs w:val="20"/>
                          </w:rPr>
                        </m:ctrlPr>
                      </m:sSupPr>
                      <m:e>
                        <m:r>
                          <w:rPr>
                            <w:rFonts w:ascii="Cambria Math" w:hAnsi="Cambria Math"/>
                            <w:sz w:val="20"/>
                            <w:szCs w:val="20"/>
                          </w:rPr>
                          <m:t>W</m:t>
                        </m:r>
                      </m:e>
                      <m:sup>
                        <m:d>
                          <m:dPr>
                            <m:ctrlPr>
                              <w:rPr>
                                <w:rFonts w:ascii="Cambria Math" w:hAnsi="Cambria Math"/>
                                <w:i/>
                                <w:iCs/>
                                <w:sz w:val="20"/>
                                <w:szCs w:val="20"/>
                              </w:rPr>
                            </m:ctrlPr>
                          </m:dPr>
                          <m:e>
                            <m:r>
                              <w:rPr>
                                <w:rFonts w:ascii="Cambria Math" w:hAnsi="Cambria Math"/>
                                <w:sz w:val="20"/>
                                <w:szCs w:val="20"/>
                              </w:rPr>
                              <m:t>1</m:t>
                            </m:r>
                          </m:e>
                        </m:d>
                        <m:r>
                          <w:rPr>
                            <w:rFonts w:ascii="Cambria Math" w:hAnsi="Cambria Math"/>
                            <w:sz w:val="20"/>
                            <w:szCs w:val="20"/>
                          </w:rPr>
                          <m:t>T</m:t>
                        </m:r>
                      </m:sup>
                    </m:sSup>
                    <m:sSup>
                      <m:sSupPr>
                        <m:ctrlPr>
                          <w:rPr>
                            <w:rFonts w:ascii="Cambria Math" w:hAnsi="Cambria Math"/>
                            <w:i/>
                            <w:iCs/>
                            <w:sz w:val="20"/>
                            <w:szCs w:val="20"/>
                          </w:rPr>
                        </m:ctrlPr>
                      </m:sSupPr>
                      <m:e>
                        <m:r>
                          <w:rPr>
                            <w:rFonts w:ascii="Cambria Math" w:hAnsi="Cambria Math"/>
                            <w:sz w:val="20"/>
                            <w:szCs w:val="20"/>
                          </w:rPr>
                          <m:t>d</m:t>
                        </m:r>
                      </m:e>
                      <m:sup>
                        <m:d>
                          <m:dPr>
                            <m:ctrlPr>
                              <w:rPr>
                                <w:rFonts w:ascii="Cambria Math" w:hAnsi="Cambria Math"/>
                                <w:i/>
                                <w:iCs/>
                                <w:sz w:val="20"/>
                                <w:szCs w:val="20"/>
                              </w:rPr>
                            </m:ctrlPr>
                          </m:dPr>
                          <m:e>
                            <m:r>
                              <w:rPr>
                                <w:rFonts w:ascii="Cambria Math" w:hAnsi="Cambria Math"/>
                                <w:sz w:val="20"/>
                                <w:szCs w:val="20"/>
                              </w:rPr>
                              <m:t>1</m:t>
                            </m:r>
                          </m:e>
                        </m:d>
                      </m:sup>
                    </m:sSup>
                    <m:d>
                      <m:dPr>
                        <m:ctrlPr>
                          <w:rPr>
                            <w:rFonts w:ascii="Cambria Math" w:hAnsi="Cambria Math"/>
                            <w:i/>
                            <w:iCs/>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b</m:t>
                        </m:r>
                      </m:e>
                      <m:sup>
                        <m:d>
                          <m:dPr>
                            <m:ctrlPr>
                              <w:rPr>
                                <w:rFonts w:ascii="Cambria Math" w:hAnsi="Cambria Math"/>
                                <w:i/>
                                <w:iCs/>
                                <w:sz w:val="20"/>
                                <w:szCs w:val="20"/>
                              </w:rPr>
                            </m:ctrlPr>
                          </m:dPr>
                          <m:e>
                            <m:r>
                              <w:rPr>
                                <w:rFonts w:ascii="Cambria Math" w:hAnsi="Cambria Math"/>
                                <w:sz w:val="20"/>
                                <w:szCs w:val="20"/>
                              </w:rPr>
                              <m:t>4</m:t>
                            </m:r>
                          </m:e>
                        </m:d>
                      </m:sup>
                    </m:sSup>
                  </m:e>
                </m:d>
              </m:oMath>
            </m:oMathPara>
          </w:p>
        </w:tc>
        <w:tc>
          <w:tcPr>
            <w:tcW w:w="1165" w:type="dxa"/>
          </w:tcPr>
          <w:p w14:paraId="2BB5F55A" w14:textId="0EFF93F0" w:rsidR="00BA01D7" w:rsidRDefault="0045625D" w:rsidP="00BA01D7">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7</w:t>
            </w:r>
            <w:r>
              <w:rPr>
                <w:sz w:val="20"/>
                <w:szCs w:val="20"/>
              </w:rPr>
              <w:fldChar w:fldCharType="end"/>
            </w:r>
            <w:r>
              <w:rPr>
                <w:sz w:val="20"/>
                <w:szCs w:val="20"/>
              </w:rPr>
              <w:t>)</w:t>
            </w:r>
          </w:p>
        </w:tc>
      </w:tr>
      <w:tr w:rsidR="00BA01D7" w14:paraId="448F6DEE" w14:textId="77777777" w:rsidTr="00114B88">
        <w:trPr>
          <w:trHeight w:val="674"/>
        </w:trPr>
        <w:tc>
          <w:tcPr>
            <w:tcW w:w="1075" w:type="dxa"/>
          </w:tcPr>
          <w:p w14:paraId="1D115E30" w14:textId="77777777" w:rsidR="00BA01D7" w:rsidRDefault="00BA01D7" w:rsidP="00114B88">
            <w:pPr>
              <w:spacing w:line="480" w:lineRule="auto"/>
              <w:jc w:val="center"/>
              <w:rPr>
                <w:sz w:val="20"/>
                <w:szCs w:val="20"/>
              </w:rPr>
            </w:pPr>
          </w:p>
        </w:tc>
        <w:tc>
          <w:tcPr>
            <w:tcW w:w="7110" w:type="dxa"/>
          </w:tcPr>
          <w:p w14:paraId="2CF13D2E" w14:textId="318796FA" w:rsidR="00BA01D7" w:rsidRDefault="0051259D" w:rsidP="00B40B01">
            <w:pPr>
              <w:spacing w:line="480" w:lineRule="auto"/>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3</m:t>
                        </m:r>
                      </m:e>
                    </m:d>
                  </m:sup>
                </m:sSup>
                <m:sSup>
                  <m:sSupPr>
                    <m:ctrlPr>
                      <w:rPr>
                        <w:rFonts w:ascii="Cambria Math" w:hAnsi="Cambria Math"/>
                        <w:i/>
                        <w:sz w:val="20"/>
                        <w:szCs w:val="20"/>
                      </w:rPr>
                    </m:ctrlPr>
                  </m:sSupPr>
                  <m:e>
                    <m:r>
                      <w:rPr>
                        <w:rFonts w:ascii="Cambria Math" w:hAnsi="Cambria Math"/>
                        <w:sz w:val="20"/>
                        <w:szCs w:val="20"/>
                      </w:rPr>
                      <m:t>d</m:t>
                    </m:r>
                  </m:e>
                  <m:sup>
                    <m:d>
                      <m:dPr>
                        <m:ctrlPr>
                          <w:rPr>
                            <w:rFonts w:ascii="Cambria Math" w:hAnsi="Cambria Math"/>
                            <w:i/>
                            <w:sz w:val="20"/>
                            <w:szCs w:val="20"/>
                          </w:rPr>
                        </m:ctrlPr>
                      </m:dPr>
                      <m:e>
                        <m:r>
                          <w:rPr>
                            <w:rFonts w:ascii="Cambria Math" w:hAnsi="Cambria Math"/>
                            <w:sz w:val="20"/>
                            <w:szCs w:val="20"/>
                          </w:rPr>
                          <m:t>2</m:t>
                        </m:r>
                      </m:e>
                    </m:d>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5</m:t>
                        </m:r>
                      </m:e>
                    </m:d>
                  </m:sup>
                </m:sSup>
              </m:oMath>
            </m:oMathPara>
          </w:p>
        </w:tc>
        <w:tc>
          <w:tcPr>
            <w:tcW w:w="1165" w:type="dxa"/>
          </w:tcPr>
          <w:p w14:paraId="3DC4DE42" w14:textId="3C2C1036" w:rsidR="00BA01D7" w:rsidRDefault="00BA01D7"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8</w:t>
            </w:r>
            <w:r>
              <w:rPr>
                <w:sz w:val="20"/>
                <w:szCs w:val="20"/>
              </w:rPr>
              <w:fldChar w:fldCharType="end"/>
            </w:r>
            <w:r>
              <w:rPr>
                <w:sz w:val="20"/>
                <w:szCs w:val="20"/>
              </w:rPr>
              <w:t>)</w:t>
            </w:r>
          </w:p>
        </w:tc>
      </w:tr>
      <w:tr w:rsidR="0045625D" w14:paraId="5127B9E4" w14:textId="77777777" w:rsidTr="00114B88">
        <w:trPr>
          <w:trHeight w:val="674"/>
        </w:trPr>
        <w:tc>
          <w:tcPr>
            <w:tcW w:w="1075" w:type="dxa"/>
          </w:tcPr>
          <w:p w14:paraId="1C6E8F5C" w14:textId="77777777" w:rsidR="0045625D" w:rsidRDefault="0045625D" w:rsidP="00416C68">
            <w:pPr>
              <w:spacing w:line="480" w:lineRule="auto"/>
              <w:rPr>
                <w:sz w:val="20"/>
                <w:szCs w:val="20"/>
              </w:rPr>
            </w:pPr>
          </w:p>
        </w:tc>
        <w:tc>
          <w:tcPr>
            <w:tcW w:w="7110" w:type="dxa"/>
          </w:tcPr>
          <w:p w14:paraId="587E821B" w14:textId="77777777" w:rsidR="0045625D" w:rsidRPr="00DD0D7A" w:rsidRDefault="0045625D" w:rsidP="00B40B01">
            <w:pPr>
              <w:spacing w:line="480" w:lineRule="auto"/>
              <w:rPr>
                <w:iCs/>
                <w:sz w:val="20"/>
                <w:szCs w:val="20"/>
              </w:rPr>
            </w:pPr>
          </w:p>
        </w:tc>
        <w:tc>
          <w:tcPr>
            <w:tcW w:w="1165" w:type="dxa"/>
          </w:tcPr>
          <w:p w14:paraId="08521CCE" w14:textId="77777777" w:rsidR="0045625D" w:rsidRDefault="0045625D" w:rsidP="00114B88">
            <w:pPr>
              <w:spacing w:line="480" w:lineRule="auto"/>
              <w:jc w:val="center"/>
              <w:rPr>
                <w:sz w:val="20"/>
                <w:szCs w:val="20"/>
              </w:rPr>
            </w:pPr>
          </w:p>
        </w:tc>
      </w:tr>
    </w:tbl>
    <w:p w14:paraId="570D8FE7" w14:textId="40B9DC72" w:rsidR="001E77F1" w:rsidRDefault="006C29F3" w:rsidP="006C29F3">
      <w:pPr>
        <w:pStyle w:val="AMIAHeading"/>
        <w:spacing w:line="480" w:lineRule="auto"/>
        <w:jc w:val="left"/>
        <w:rPr>
          <w:b w:val="0"/>
          <w:bCs/>
        </w:rPr>
      </w:pPr>
      <w:r w:rsidRPr="006C29F3">
        <w:rPr>
          <w:b w:val="0"/>
          <w:bCs/>
        </w:rPr>
        <w:t xml:space="preserve">where, </w:t>
      </w:r>
      <m:oMath>
        <m:sSup>
          <m:sSupPr>
            <m:ctrlPr>
              <w:rPr>
                <w:rFonts w:ascii="Cambria Math" w:hAnsi="Cambria Math"/>
                <w:b w:val="0"/>
                <w:bCs/>
                <w:i/>
              </w:rPr>
            </m:ctrlPr>
          </m:sSupPr>
          <m:e>
            <m:r>
              <w:rPr>
                <w:rFonts w:ascii="Cambria Math" w:hAnsi="Cambria Math"/>
              </w:rPr>
              <m:t>e</m:t>
            </m:r>
          </m:e>
          <m:sup>
            <m:d>
              <m:dPr>
                <m:ctrlPr>
                  <w:rPr>
                    <w:rFonts w:ascii="Cambria Math" w:hAnsi="Cambria Math"/>
                    <w:b w:val="0"/>
                    <w:bCs/>
                    <w:i/>
                  </w:rPr>
                </m:ctrlPr>
              </m:dPr>
              <m:e>
                <m:r>
                  <w:rPr>
                    <w:rFonts w:ascii="Cambria Math" w:hAnsi="Cambria Math"/>
                  </w:rPr>
                  <m:t>l</m:t>
                </m:r>
              </m:e>
            </m:d>
          </m:sup>
        </m:sSup>
        <m:d>
          <m:dPr>
            <m:ctrlPr>
              <w:rPr>
                <w:rFonts w:ascii="Cambria Math" w:hAnsi="Cambria Math"/>
                <w:b w:val="0"/>
                <w:bCs/>
                <w:i/>
              </w:rPr>
            </m:ctrlPr>
          </m:dPr>
          <m:e>
            <m:r>
              <w:rPr>
                <w:rFonts w:ascii="Cambria Math" w:hAnsi="Cambria Math"/>
              </w:rPr>
              <m:t>i</m:t>
            </m:r>
          </m:e>
        </m:d>
        <m:r>
          <w:rPr>
            <w:rFonts w:ascii="Cambria Math" w:hAnsi="Cambria Math"/>
          </w:rPr>
          <m:t>,</m:t>
        </m:r>
        <m:r>
          <w:rPr>
            <w:rFonts w:ascii="Cambria Math" w:hAnsi="Cambria Math"/>
          </w:rPr>
          <m:t xml:space="preserve"> </m:t>
        </m:r>
        <m:sSup>
          <m:sSupPr>
            <m:ctrlPr>
              <w:rPr>
                <w:rFonts w:ascii="Cambria Math" w:hAnsi="Cambria Math"/>
                <w:b w:val="0"/>
                <w:bCs/>
                <w:i/>
              </w:rPr>
            </m:ctrlPr>
          </m:sSupPr>
          <m:e>
            <m:r>
              <w:rPr>
                <w:rFonts w:ascii="Cambria Math" w:hAnsi="Cambria Math"/>
              </w:rPr>
              <m:t xml:space="preserve"> </m:t>
            </m:r>
            <m:r>
              <w:rPr>
                <w:rFonts w:ascii="Cambria Math" w:hAnsi="Cambria Math"/>
              </w:rPr>
              <m:t>d</m:t>
            </m:r>
          </m:e>
          <m:sup>
            <m:d>
              <m:dPr>
                <m:ctrlPr>
                  <w:rPr>
                    <w:rFonts w:ascii="Cambria Math" w:hAnsi="Cambria Math"/>
                    <w:b w:val="0"/>
                    <w:bCs/>
                    <w:i/>
                  </w:rPr>
                </m:ctrlPr>
              </m:dPr>
              <m:e>
                <m:r>
                  <w:rPr>
                    <w:rFonts w:ascii="Cambria Math" w:hAnsi="Cambria Math"/>
                  </w:rPr>
                  <m:t>l</m:t>
                </m:r>
              </m:e>
            </m:d>
          </m:sup>
        </m:sSup>
        <m:d>
          <m:dPr>
            <m:ctrlPr>
              <w:rPr>
                <w:rFonts w:ascii="Cambria Math" w:hAnsi="Cambria Math"/>
                <w:b w:val="0"/>
                <w:bCs/>
                <w:i/>
              </w:rPr>
            </m:ctrlPr>
          </m:dPr>
          <m:e>
            <m:r>
              <w:rPr>
                <w:rFonts w:ascii="Cambria Math" w:hAnsi="Cambria Math"/>
              </w:rPr>
              <m:t>i</m:t>
            </m:r>
          </m:e>
        </m:d>
        <m:r>
          <w:rPr>
            <w:rFonts w:ascii="Cambria Math" w:hAnsi="Cambria Math"/>
          </w:rPr>
          <m:t>,</m:t>
        </m:r>
        <m:r>
          <w:rPr>
            <w:rFonts w:ascii="Cambria Math" w:hAnsi="Cambria Math"/>
          </w:rPr>
          <m:t xml:space="preserve">  </m:t>
        </m:r>
        <m:sSup>
          <m:sSupPr>
            <m:ctrlPr>
              <w:rPr>
                <w:rFonts w:ascii="Cambria Math" w:hAnsi="Cambria Math"/>
                <w:b w:val="0"/>
                <w:bCs/>
                <w:i/>
              </w:rPr>
            </m:ctrlPr>
          </m:sSupPr>
          <m:e>
            <m:r>
              <w:rPr>
                <w:rFonts w:ascii="Cambria Math" w:hAnsi="Cambria Math"/>
              </w:rPr>
              <m:t>x</m:t>
            </m:r>
          </m:e>
          <m:sup>
            <m:r>
              <w:rPr>
                <w:rFonts w:ascii="Cambria Math" w:hAnsi="Cambria Math"/>
              </w:rPr>
              <m:t>'</m:t>
            </m:r>
          </m:sup>
        </m:sSup>
        <m:d>
          <m:dPr>
            <m:ctrlPr>
              <w:rPr>
                <w:rFonts w:ascii="Cambria Math" w:hAnsi="Cambria Math"/>
                <w:b w:val="0"/>
                <w:bCs/>
                <w:i/>
              </w:rPr>
            </m:ctrlPr>
          </m:dPr>
          <m:e>
            <m:r>
              <w:rPr>
                <w:rFonts w:ascii="Cambria Math" w:hAnsi="Cambria Math"/>
              </w:rPr>
              <m:t>i</m:t>
            </m:r>
          </m:e>
        </m:d>
      </m:oMath>
      <w:r w:rsidRPr="006C29F3">
        <w:rPr>
          <w:b w:val="0"/>
          <w:bCs/>
        </w:rPr>
        <w:t xml:space="preserve"> are the activations of the encoder, decoder and the reconstructed input of </w:t>
      </w:r>
      <m:oMath>
        <m:sSup>
          <m:sSupPr>
            <m:ctrlPr>
              <w:rPr>
                <w:rFonts w:ascii="Cambria Math" w:hAnsi="Cambria Math"/>
                <w:b w:val="0"/>
                <w:bCs/>
                <w:i/>
              </w:rPr>
            </m:ctrlPr>
          </m:sSupPr>
          <m:e>
            <m:r>
              <w:rPr>
                <w:rFonts w:ascii="Cambria Math" w:hAnsi="Cambria Math"/>
              </w:rPr>
              <m:t>l</m:t>
            </m:r>
          </m:e>
          <m:sup>
            <m:r>
              <w:rPr>
                <w:rFonts w:ascii="Cambria Math" w:hAnsi="Cambria Math"/>
              </w:rPr>
              <m:t>th</m:t>
            </m:r>
          </m:sup>
        </m:sSup>
      </m:oMath>
      <w:r w:rsidRPr="006C29F3">
        <w:rPr>
          <w:b w:val="0"/>
          <w:bCs/>
        </w:rPr>
        <w:t xml:space="preserve"> layer for the </w:t>
      </w:r>
      <m:oMath>
        <m:sSup>
          <m:sSupPr>
            <m:ctrlPr>
              <w:rPr>
                <w:rFonts w:ascii="Cambria Math" w:hAnsi="Cambria Math"/>
                <w:b w:val="0"/>
                <w:bCs/>
                <w:i/>
              </w:rPr>
            </m:ctrlPr>
          </m:sSupPr>
          <m:e>
            <m:r>
              <w:rPr>
                <w:rFonts w:ascii="Cambria Math" w:hAnsi="Cambria Math"/>
              </w:rPr>
              <m:t>i</m:t>
            </m:r>
          </m:e>
          <m:sup>
            <m:r>
              <w:rPr>
                <w:rFonts w:ascii="Cambria Math" w:hAnsi="Cambria Math"/>
              </w:rPr>
              <m:t>th</m:t>
            </m:r>
          </m:sup>
        </m:sSup>
      </m:oMath>
      <w:r w:rsidRPr="006C29F3">
        <w:rPr>
          <w:b w:val="0"/>
          <w:bCs/>
        </w:rPr>
        <w:t xml:space="preserve"> sample, respectively. </w:t>
      </w:r>
      <m:oMath>
        <m:sSup>
          <m:sSupPr>
            <m:ctrlPr>
              <w:rPr>
                <w:rFonts w:ascii="Cambria Math" w:hAnsi="Cambria Math"/>
                <w:b w:val="0"/>
                <w:bCs/>
                <w:i/>
              </w:rPr>
            </m:ctrlPr>
          </m:sSupPr>
          <m:e>
            <m:r>
              <w:rPr>
                <w:rFonts w:ascii="Cambria Math" w:hAnsi="Cambria Math"/>
              </w:rPr>
              <m:t>W</m:t>
            </m:r>
          </m:e>
          <m:sup>
            <m:d>
              <m:dPr>
                <m:ctrlPr>
                  <w:rPr>
                    <w:rFonts w:ascii="Cambria Math" w:hAnsi="Cambria Math"/>
                    <w:b w:val="0"/>
                    <w:bCs/>
                    <w:i/>
                  </w:rPr>
                </m:ctrlPr>
              </m:dPr>
              <m:e>
                <m:r>
                  <w:rPr>
                    <w:rFonts w:ascii="Cambria Math" w:hAnsi="Cambria Math"/>
                  </w:rPr>
                  <m:t>l</m:t>
                </m:r>
              </m:e>
            </m:d>
          </m:sup>
        </m:sSup>
      </m:oMath>
      <w:r w:rsidRPr="006C29F3">
        <w:rPr>
          <w:b w:val="0"/>
          <w:bCs/>
        </w:rPr>
        <w:t xml:space="preserve"> and </w:t>
      </w:r>
      <m:oMath>
        <m:sSup>
          <m:sSupPr>
            <m:ctrlPr>
              <w:rPr>
                <w:rFonts w:ascii="Cambria Math" w:hAnsi="Cambria Math"/>
                <w:b w:val="0"/>
                <w:bCs/>
                <w:i/>
              </w:rPr>
            </m:ctrlPr>
          </m:sSupPr>
          <m:e>
            <m:r>
              <w:rPr>
                <w:rFonts w:ascii="Cambria Math" w:hAnsi="Cambria Math"/>
              </w:rPr>
              <m:t>W</m:t>
            </m:r>
          </m:e>
          <m:sup>
            <m:d>
              <m:dPr>
                <m:ctrlPr>
                  <w:rPr>
                    <w:rFonts w:ascii="Cambria Math" w:hAnsi="Cambria Math"/>
                    <w:b w:val="0"/>
                    <w:bCs/>
                    <w:i/>
                  </w:rPr>
                </m:ctrlPr>
              </m:dPr>
              <m:e>
                <m:r>
                  <w:rPr>
                    <w:rFonts w:ascii="Cambria Math" w:hAnsi="Cambria Math"/>
                  </w:rPr>
                  <m:t>2</m:t>
                </m:r>
              </m:e>
            </m:d>
          </m:sup>
        </m:sSup>
      </m:oMath>
      <w:r w:rsidRPr="006C29F3">
        <w:rPr>
          <w:b w:val="0"/>
          <w:bCs/>
        </w:rPr>
        <w:t xml:space="preserve"> are the weight matrices of encoder 1 and encoder 2, having sizes </w:t>
      </w:r>
      <m:oMath>
        <m:r>
          <w:rPr>
            <w:rFonts w:ascii="Cambria Math" w:hAnsi="Cambria Math"/>
          </w:rPr>
          <m:t>s1</m:t>
        </m:r>
        <m:r>
          <w:rPr>
            <w:rFonts w:ascii="Cambria Math" w:hAnsi="Cambria Math"/>
          </w:rPr>
          <m:t>x</m:t>
        </m:r>
        <m:r>
          <w:rPr>
            <w:rFonts w:ascii="Cambria Math" w:hAnsi="Cambria Math"/>
          </w:rPr>
          <m:t xml:space="preserve"> d</m:t>
        </m:r>
      </m:oMath>
      <w:r w:rsidRPr="006C29F3">
        <w:rPr>
          <w:b w:val="0"/>
          <w:bCs/>
        </w:rPr>
        <w:t xml:space="preserve"> and </w:t>
      </w:r>
      <m:oMath>
        <m:r>
          <w:rPr>
            <w:rFonts w:ascii="Cambria Math" w:hAnsi="Cambria Math"/>
          </w:rPr>
          <m:t xml:space="preserve">s2 </m:t>
        </m:r>
        <m:r>
          <w:rPr>
            <w:rFonts w:ascii="Cambria Math" w:hAnsi="Cambria Math"/>
          </w:rPr>
          <m:t>x</m:t>
        </m:r>
        <m:r>
          <w:rPr>
            <w:rFonts w:ascii="Cambria Math" w:hAnsi="Cambria Math"/>
          </w:rPr>
          <m:t xml:space="preserve"> s1</m:t>
        </m:r>
      </m:oMath>
      <w:r w:rsidRPr="006C29F3">
        <w:rPr>
          <w:b w:val="0"/>
          <w:bCs/>
        </w:rPr>
        <w:t xml:space="preserve">, </w:t>
      </w:r>
      <m:oMath>
        <m:sSup>
          <m:sSupPr>
            <m:ctrlPr>
              <w:rPr>
                <w:rFonts w:ascii="Cambria Math" w:hAnsi="Cambria Math"/>
                <w:b w:val="0"/>
                <w:bCs/>
                <w:i/>
              </w:rPr>
            </m:ctrlPr>
          </m:sSupPr>
          <m:e>
            <m:r>
              <w:rPr>
                <w:rFonts w:ascii="Cambria Math" w:hAnsi="Cambria Math"/>
              </w:rPr>
              <m:t>W</m:t>
            </m:r>
          </m:e>
          <m:sup>
            <m:d>
              <m:dPr>
                <m:ctrlPr>
                  <w:rPr>
                    <w:rFonts w:ascii="Cambria Math" w:hAnsi="Cambria Math"/>
                    <w:b w:val="0"/>
                    <w:bCs/>
                    <w:i/>
                  </w:rPr>
                </m:ctrlPr>
              </m:dPr>
              <m:e>
                <m:r>
                  <w:rPr>
                    <w:rFonts w:ascii="Cambria Math" w:hAnsi="Cambria Math"/>
                  </w:rPr>
                  <m:t>2</m:t>
                </m:r>
              </m:e>
            </m:d>
            <m:r>
              <w:rPr>
                <w:rFonts w:ascii="Cambria Math" w:hAnsi="Cambria Math"/>
              </w:rPr>
              <m:t>T</m:t>
            </m:r>
          </m:sup>
        </m:sSup>
      </m:oMath>
      <w:r w:rsidRPr="006C29F3">
        <w:rPr>
          <w:b w:val="0"/>
          <w:bCs/>
        </w:rPr>
        <w:t xml:space="preserve"> and </w:t>
      </w:r>
      <m:oMath>
        <m:sSup>
          <m:sSupPr>
            <m:ctrlPr>
              <w:rPr>
                <w:rFonts w:ascii="Cambria Math" w:hAnsi="Cambria Math"/>
                <w:b w:val="0"/>
                <w:bCs/>
                <w:i/>
              </w:rPr>
            </m:ctrlPr>
          </m:sSupPr>
          <m:e>
            <m:r>
              <w:rPr>
                <w:rFonts w:ascii="Cambria Math" w:hAnsi="Cambria Math"/>
              </w:rPr>
              <m:t>W</m:t>
            </m:r>
          </m:e>
          <m:sup>
            <m:d>
              <m:dPr>
                <m:ctrlPr>
                  <w:rPr>
                    <w:rFonts w:ascii="Cambria Math" w:hAnsi="Cambria Math"/>
                    <w:b w:val="0"/>
                    <w:bCs/>
                    <w:i/>
                  </w:rPr>
                </m:ctrlPr>
              </m:dPr>
              <m:e>
                <m:r>
                  <w:rPr>
                    <w:rFonts w:ascii="Cambria Math" w:hAnsi="Cambria Math"/>
                  </w:rPr>
                  <m:t>1</m:t>
                </m:r>
              </m:e>
            </m:d>
            <m:r>
              <w:rPr>
                <w:rFonts w:ascii="Cambria Math" w:hAnsi="Cambria Math"/>
              </w:rPr>
              <m:t>T</m:t>
            </m:r>
          </m:sup>
        </m:sSup>
      </m:oMath>
      <w:r w:rsidRPr="006C29F3">
        <w:rPr>
          <w:b w:val="0"/>
          <w:bCs/>
        </w:rPr>
        <w:t xml:space="preserve"> are the weight matrices of decoder 1 and decoder 2 having sizes </w:t>
      </w:r>
      <m:oMath>
        <m:r>
          <w:rPr>
            <w:rFonts w:ascii="Cambria Math" w:hAnsi="Cambria Math"/>
          </w:rPr>
          <m:t xml:space="preserve">s1 </m:t>
        </m:r>
        <m:r>
          <w:rPr>
            <w:rFonts w:ascii="Cambria Math" w:hAnsi="Cambria Math"/>
          </w:rPr>
          <m:t>x</m:t>
        </m:r>
        <m:r>
          <w:rPr>
            <w:rFonts w:ascii="Cambria Math" w:hAnsi="Cambria Math"/>
          </w:rPr>
          <m:t xml:space="preserve"> s2</m:t>
        </m:r>
      </m:oMath>
      <w:r w:rsidRPr="006C29F3">
        <w:rPr>
          <w:b w:val="0"/>
          <w:bCs/>
        </w:rPr>
        <w:t xml:space="preserve"> and </w:t>
      </w:r>
      <m:oMath>
        <m:r>
          <w:rPr>
            <w:rFonts w:ascii="Cambria Math" w:hAnsi="Cambria Math"/>
          </w:rPr>
          <m:t xml:space="preserve">d </m:t>
        </m:r>
        <m:r>
          <w:rPr>
            <w:rFonts w:ascii="Cambria Math" w:hAnsi="Cambria Math"/>
          </w:rPr>
          <m:t>x</m:t>
        </m:r>
        <m:r>
          <w:rPr>
            <w:rFonts w:ascii="Cambria Math" w:hAnsi="Cambria Math"/>
          </w:rPr>
          <m:t xml:space="preserve"> s1</m:t>
        </m:r>
      </m:oMath>
      <w:r w:rsidRPr="006C29F3">
        <w:rPr>
          <w:b w:val="0"/>
          <w:bCs/>
        </w:rPr>
        <w:t xml:space="preserve">. </w:t>
      </w:r>
      <m:oMath>
        <m:r>
          <w:rPr>
            <w:rFonts w:ascii="Cambria Math" w:hAnsi="Cambria Math"/>
          </w:rPr>
          <m:t>s</m:t>
        </m:r>
        <m:d>
          <m:dPr>
            <m:ctrlPr>
              <w:rPr>
                <w:rFonts w:ascii="Cambria Math" w:hAnsi="Cambria Math"/>
                <w:b w:val="0"/>
                <w:bCs/>
                <w:i/>
              </w:rPr>
            </m:ctrlPr>
          </m:dPr>
          <m:e>
            <m:r>
              <w:rPr>
                <w:rFonts w:ascii="Cambria Math" w:hAnsi="Cambria Math"/>
              </w:rPr>
              <m:t>l</m:t>
            </m:r>
          </m:e>
        </m:d>
      </m:oMath>
      <w:r w:rsidRPr="006C29F3">
        <w:rPr>
          <w:b w:val="0"/>
          <w:bCs/>
        </w:rPr>
        <w:t xml:space="preserve">denotes size or number of neurons of </w:t>
      </w:r>
      <m:oMath>
        <m:sSup>
          <m:sSupPr>
            <m:ctrlPr>
              <w:rPr>
                <w:rFonts w:ascii="Cambria Math" w:hAnsi="Cambria Math"/>
                <w:b w:val="0"/>
                <w:bCs/>
                <w:i/>
              </w:rPr>
            </m:ctrlPr>
          </m:sSupPr>
          <m:e>
            <m:r>
              <w:rPr>
                <w:rFonts w:ascii="Cambria Math" w:hAnsi="Cambria Math"/>
              </w:rPr>
              <m:t>l</m:t>
            </m:r>
          </m:e>
          <m:sup>
            <m:r>
              <w:rPr>
                <w:rFonts w:ascii="Cambria Math" w:hAnsi="Cambria Math"/>
              </w:rPr>
              <m:t>th</m:t>
            </m:r>
          </m:sup>
        </m:sSup>
      </m:oMath>
      <w:r w:rsidRPr="006C29F3">
        <w:rPr>
          <w:b w:val="0"/>
          <w:bCs/>
        </w:rPr>
        <w:t xml:space="preserve"> layer and </w:t>
      </w:r>
      <m:oMath>
        <m:r>
          <w:rPr>
            <w:rFonts w:ascii="Cambria Math" w:hAnsi="Cambria Math"/>
          </w:rPr>
          <m:t>f</m:t>
        </m:r>
        <m:d>
          <m:dPr>
            <m:ctrlPr>
              <w:rPr>
                <w:rFonts w:ascii="Cambria Math" w:hAnsi="Cambria Math"/>
                <w:b w:val="0"/>
                <w:bCs/>
                <w:i/>
              </w:rPr>
            </m:ctrlPr>
          </m:dPr>
          <m:e>
            <m:r>
              <w:rPr>
                <w:rFonts w:ascii="Cambria Math" w:hAnsi="Cambria Math"/>
              </w:rPr>
              <m:t>.</m:t>
            </m:r>
          </m:e>
        </m:d>
      </m:oMath>
      <w:r w:rsidRPr="006C29F3">
        <w:rPr>
          <w:b w:val="0"/>
          <w:bCs/>
        </w:rPr>
        <w:t xml:space="preserve"> is </w:t>
      </w:r>
      <w:r w:rsidR="0066787C" w:rsidRPr="006C29F3">
        <w:rPr>
          <w:b w:val="0"/>
          <w:bCs/>
        </w:rPr>
        <w:t>the activation</w:t>
      </w:r>
      <w:r w:rsidRPr="006C29F3">
        <w:rPr>
          <w:b w:val="0"/>
          <w:bCs/>
        </w:rPr>
        <w:t xml:space="preserve"> function (</w:t>
      </w:r>
      <m:oMath>
        <m:r>
          <w:rPr>
            <w:rFonts w:ascii="Cambria Math" w:hAnsi="Cambria Math"/>
          </w:rPr>
          <m:t>tanh</m:t>
        </m:r>
      </m:oMath>
      <w:r w:rsidRPr="006C29F3">
        <w:rPr>
          <w:b w:val="0"/>
          <w:bCs/>
        </w:rPr>
        <w:t>).</w:t>
      </w:r>
    </w:p>
    <w:p w14:paraId="03BC93F8" w14:textId="5CF82230" w:rsidR="003D6F18" w:rsidRDefault="001E77F1" w:rsidP="006C29F3">
      <w:pPr>
        <w:pStyle w:val="AMIAHeading"/>
        <w:spacing w:line="480" w:lineRule="auto"/>
        <w:jc w:val="left"/>
        <w:rPr>
          <w:b w:val="0"/>
          <w:bCs/>
        </w:rPr>
      </w:pPr>
      <w:r>
        <w:rPr>
          <w:b w:val="0"/>
          <w:bCs/>
        </w:rPr>
        <w:tab/>
      </w:r>
      <w:r w:rsidRPr="001E77F1">
        <w:rPr>
          <w:b w:val="0"/>
          <w:bCs/>
        </w:rPr>
        <w:t xml:space="preserve">After reconstructing the a sample input feature </w:t>
      </w:r>
      <m:oMath>
        <m:r>
          <w:rPr>
            <w:rFonts w:ascii="Cambria Math" w:hAnsi="Cambria Math"/>
          </w:rPr>
          <m:t>x</m:t>
        </m:r>
        <m:d>
          <m:dPr>
            <m:ctrlPr>
              <w:rPr>
                <w:rFonts w:ascii="Cambria Math" w:hAnsi="Cambria Math"/>
                <w:b w:val="0"/>
                <w:bCs/>
                <w:i/>
              </w:rPr>
            </m:ctrlPr>
          </m:dPr>
          <m:e>
            <m:r>
              <w:rPr>
                <w:rFonts w:ascii="Cambria Math" w:hAnsi="Cambria Math"/>
              </w:rPr>
              <m:t>i</m:t>
            </m:r>
          </m:e>
        </m:d>
      </m:oMath>
      <w:r w:rsidRPr="001E77F1">
        <w:rPr>
          <w:b w:val="0"/>
          <w:bCs/>
        </w:rPr>
        <w:t xml:space="preserve">, the objective function of the sparse autoencoder </w:t>
      </w:r>
      <m:oMath>
        <m:sSub>
          <m:sSubPr>
            <m:ctrlPr>
              <w:rPr>
                <w:rFonts w:ascii="Cambria Math" w:hAnsi="Cambria Math"/>
                <w:b w:val="0"/>
                <w:bCs/>
                <w:i/>
              </w:rPr>
            </m:ctrlPr>
          </m:sSubPr>
          <m:e>
            <m:r>
              <w:rPr>
                <w:rFonts w:ascii="Cambria Math" w:hAnsi="Cambria Math"/>
              </w:rPr>
              <m:t>J</m:t>
            </m:r>
          </m:e>
          <m:sub>
            <m:r>
              <w:rPr>
                <w:rFonts w:ascii="Cambria Math" w:hAnsi="Cambria Math"/>
              </w:rPr>
              <m:t>sparse</m:t>
            </m:r>
          </m:sub>
        </m:sSub>
        <m:d>
          <m:dPr>
            <m:ctrlPr>
              <w:rPr>
                <w:rFonts w:ascii="Cambria Math" w:hAnsi="Cambria Math"/>
                <w:b w:val="0"/>
                <w:bCs/>
                <w:i/>
              </w:rPr>
            </m:ctrlPr>
          </m:dPr>
          <m:e>
            <m:r>
              <w:rPr>
                <w:rFonts w:ascii="Cambria Math" w:hAnsi="Cambria Math"/>
              </w:rPr>
              <m:t>W,b</m:t>
            </m:r>
          </m:e>
        </m:d>
        <m:r>
          <w:rPr>
            <w:rFonts w:ascii="Cambria Math" w:hAnsi="Cambria Math"/>
          </w:rPr>
          <m:t xml:space="preserve"> </m:t>
        </m:r>
      </m:oMath>
      <w:r w:rsidRPr="001E77F1">
        <w:rPr>
          <w:b w:val="0"/>
          <w:bCs/>
        </w:rPr>
        <w:t>has to be minimized, as described in</w:t>
      </w:r>
      <w:r w:rsidR="002C3B95">
        <w:rPr>
          <w:b w:val="0"/>
          <w:bCs/>
        </w:rPr>
        <w:t>:</w:t>
      </w:r>
      <w:r w:rsidR="00B46DD0">
        <w:rPr>
          <w:b w:val="0"/>
          <w:bCs/>
        </w:rPr>
        <w:fldChar w:fldCharType="begin" w:fldLock="1"/>
      </w:r>
      <w:r w:rsidR="008F7EFD">
        <w:rPr>
          <w:b w:val="0"/>
          <w:bCs/>
        </w:rPr>
        <w:instrText>ADDIN CSL_CITATION {"citationItems":[{"id":"ITEM-1","itemData":{"author":[{"dropping-particle":"","family":"Ng","given":"Andrew","non-dropping-particle":"","parse-names":false,"suffix":""}],"id":"ITEM-1","issued":{"date-parts":[["0"]]},"title":"CS294A Lecture notes Sparse autoencoder","type":"report"},"uris":["http://www.mendeley.com/documents/?uuid=b46c232c-82af-31ff-8597-ae99dddc324a"]}],"mendeley":{"formattedCitation":"[19]","plainTextFormattedCitation":"[19]","previouslyFormattedCitation":"[19]"},"properties":{"noteIndex":0},"schema":"https://github.com/citation-style-language/schema/raw/master/csl-citation.json"}</w:instrText>
      </w:r>
      <w:r w:rsidR="00B46DD0">
        <w:rPr>
          <w:b w:val="0"/>
          <w:bCs/>
        </w:rPr>
        <w:fldChar w:fldCharType="separate"/>
      </w:r>
      <w:r w:rsidR="00B46DD0" w:rsidRPr="00B46DD0">
        <w:rPr>
          <w:b w:val="0"/>
          <w:bCs/>
          <w:noProof/>
        </w:rPr>
        <w:t>[19]</w:t>
      </w:r>
      <w:r w:rsidR="00B46DD0">
        <w:rPr>
          <w:b w:val="0"/>
          <w:bC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3D6F18" w14:paraId="436D3214" w14:textId="77777777" w:rsidTr="00114B88">
        <w:trPr>
          <w:trHeight w:val="674"/>
        </w:trPr>
        <w:tc>
          <w:tcPr>
            <w:tcW w:w="1075" w:type="dxa"/>
          </w:tcPr>
          <w:p w14:paraId="6AA261FE" w14:textId="77777777" w:rsidR="003D6F18" w:rsidRDefault="003D6F18" w:rsidP="00114B88">
            <w:pPr>
              <w:spacing w:line="480" w:lineRule="auto"/>
              <w:jc w:val="center"/>
              <w:rPr>
                <w:sz w:val="20"/>
                <w:szCs w:val="20"/>
              </w:rPr>
            </w:pPr>
          </w:p>
        </w:tc>
        <w:tc>
          <w:tcPr>
            <w:tcW w:w="7110" w:type="dxa"/>
          </w:tcPr>
          <w:p w14:paraId="0A71FB25" w14:textId="290C4CAF" w:rsidR="003D6F18" w:rsidRDefault="00F51621" w:rsidP="003D6F18">
            <w:pPr>
              <w:spacing w:line="480" w:lineRule="auto"/>
              <w:jc w:val="center"/>
              <w:rPr>
                <w:sz w:val="20"/>
                <w:szCs w:val="20"/>
              </w:rPr>
            </w:pPr>
            <m:oMathPara>
              <m:oMath>
                <m:r>
                  <w:rPr>
                    <w:rFonts w:ascii="Cambria Math" w:hAnsi="Cambria Math"/>
                    <w:sz w:val="20"/>
                    <w:szCs w:val="20"/>
                  </w:rPr>
                  <m:t>J</m:t>
                </m:r>
                <m:d>
                  <m:dPr>
                    <m:ctrlPr>
                      <w:rPr>
                        <w:rFonts w:ascii="Cambria Math" w:hAnsi="Cambria Math"/>
                        <w:i/>
                        <w:iCs/>
                        <w:sz w:val="20"/>
                        <w:szCs w:val="20"/>
                      </w:rPr>
                    </m:ctrlPr>
                  </m:dPr>
                  <m:e>
                    <m:r>
                      <w:rPr>
                        <w:rFonts w:ascii="Cambria Math" w:hAnsi="Cambria Math"/>
                        <w:sz w:val="20"/>
                        <w:szCs w:val="20"/>
                      </w:rPr>
                      <m:t>W,b</m:t>
                    </m:r>
                  </m:e>
                </m:d>
                <m:r>
                  <w:rPr>
                    <w:rFonts w:ascii="Cambria Math" w:hAnsi="Cambria Math"/>
                    <w:sz w:val="20"/>
                    <w:szCs w:val="20"/>
                  </w:rPr>
                  <m:t>=</m:t>
                </m:r>
                <m:d>
                  <m:dPr>
                    <m:begChr m:val="["/>
                    <m:endChr m:val="]"/>
                    <m:ctrlPr>
                      <w:rPr>
                        <w:rFonts w:ascii="Cambria Math" w:hAnsi="Cambria Math"/>
                        <w:i/>
                        <w:iCs/>
                        <w:sz w:val="20"/>
                        <w:szCs w:val="20"/>
                      </w:rPr>
                    </m:ctrlPr>
                  </m:dPr>
                  <m:e>
                    <m:f>
                      <m:fPr>
                        <m:ctrlPr>
                          <w:rPr>
                            <w:rFonts w:ascii="Cambria Math" w:hAnsi="Cambria Math"/>
                            <w:iCs/>
                            <w:sz w:val="20"/>
                            <w:szCs w:val="20"/>
                          </w:rPr>
                        </m:ctrlPr>
                      </m:fPr>
                      <m:num>
                        <m:r>
                          <w:rPr>
                            <w:rFonts w:ascii="Cambria Math" w:hAnsi="Cambria Math"/>
                            <w:sz w:val="20"/>
                            <w:szCs w:val="20"/>
                          </w:rPr>
                          <m:t>1</m:t>
                        </m:r>
                        <m:ctrlPr>
                          <w:rPr>
                            <w:rFonts w:ascii="Cambria Math" w:hAnsi="Cambria Math"/>
                            <w:i/>
                            <w:iCs/>
                            <w:sz w:val="20"/>
                            <w:szCs w:val="20"/>
                          </w:rPr>
                        </m:ctrlPr>
                      </m:num>
                      <m:den>
                        <m:r>
                          <w:rPr>
                            <w:rFonts w:ascii="Cambria Math" w:hAnsi="Cambria Math"/>
                            <w:sz w:val="20"/>
                            <w:szCs w:val="20"/>
                          </w:rPr>
                          <m:t>2N</m:t>
                        </m:r>
                        <m:ctrlPr>
                          <w:rPr>
                            <w:rFonts w:ascii="Cambria Math" w:hAnsi="Cambria Math"/>
                            <w:i/>
                            <w:iCs/>
                            <w:sz w:val="20"/>
                            <w:szCs w:val="20"/>
                          </w:rPr>
                        </m:ctrlPr>
                      </m:den>
                    </m:f>
                    <m:nary>
                      <m:naryPr>
                        <m:chr m:val="∑"/>
                        <m:ctrlPr>
                          <w:rPr>
                            <w:rFonts w:ascii="Cambria Math" w:hAnsi="Cambria Math"/>
                            <w:iCs/>
                            <w:sz w:val="20"/>
                            <w:szCs w:val="20"/>
                          </w:rPr>
                        </m:ctrlPr>
                      </m:naryPr>
                      <m:sub>
                        <m:r>
                          <w:rPr>
                            <w:rFonts w:ascii="Cambria Math" w:hAnsi="Cambria Math"/>
                            <w:sz w:val="20"/>
                            <w:szCs w:val="20"/>
                          </w:rPr>
                          <m:t>i=1</m:t>
                        </m:r>
                        <m:ctrlPr>
                          <w:rPr>
                            <w:rFonts w:ascii="Cambria Math" w:hAnsi="Cambria Math"/>
                            <w:i/>
                            <w:iCs/>
                            <w:sz w:val="20"/>
                            <w:szCs w:val="20"/>
                          </w:rPr>
                        </m:ctrlPr>
                      </m:sub>
                      <m:sup>
                        <m:r>
                          <w:rPr>
                            <w:rFonts w:ascii="Cambria Math" w:hAnsi="Cambria Math"/>
                            <w:sz w:val="20"/>
                            <w:szCs w:val="20"/>
                          </w:rPr>
                          <m:t>N</m:t>
                        </m:r>
                        <m:ctrlPr>
                          <w:rPr>
                            <w:rFonts w:ascii="Cambria Math" w:hAnsi="Cambria Math"/>
                            <w:i/>
                            <w:iCs/>
                            <w:sz w:val="20"/>
                            <w:szCs w:val="20"/>
                          </w:rPr>
                        </m:ctrlPr>
                      </m:sup>
                      <m:e>
                        <m:d>
                          <m:dPr>
                            <m:begChr m:val=""/>
                            <m:endChr m:val=""/>
                            <m:ctrlPr>
                              <w:rPr>
                                <w:rFonts w:ascii="Cambria Math" w:hAnsi="Cambria Math"/>
                                <w:iCs/>
                                <w:sz w:val="20"/>
                                <w:szCs w:val="20"/>
                              </w:rPr>
                            </m:ctrlPr>
                          </m:dPr>
                          <m:e>
                            <m:r>
                              <m:rPr>
                                <m:lit/>
                              </m:rPr>
                              <w:rPr>
                                <w:rFonts w:ascii="Cambria Math" w:hAnsi="Cambria Math"/>
                                <w:sz w:val="20"/>
                                <w:szCs w:val="20"/>
                              </w:rPr>
                              <m:t>|</m:t>
                            </m:r>
                            <m:sSubSup>
                              <m:sSubSupPr>
                                <m:ctrlPr>
                                  <w:rPr>
                                    <w:rFonts w:ascii="Cambria Math" w:hAnsi="Cambria Math"/>
                                    <w:i/>
                                    <w:iCs/>
                                    <w:sz w:val="20"/>
                                    <w:szCs w:val="20"/>
                                  </w:rPr>
                                </m:ctrlPr>
                              </m:sSubSupPr>
                              <m:e>
                                <m:r>
                                  <w:rPr>
                                    <w:rFonts w:ascii="Cambria Math" w:hAnsi="Cambria Math"/>
                                    <w:sz w:val="20"/>
                                    <w:szCs w:val="20"/>
                                  </w:rPr>
                                  <m:t>x</m:t>
                                </m:r>
                              </m:e>
                              <m:sub>
                                <m:r>
                                  <w:rPr>
                                    <w:rFonts w:ascii="Cambria Math" w:hAnsi="Cambria Math"/>
                                    <w:sz w:val="20"/>
                                    <w:szCs w:val="20"/>
                                  </w:rPr>
                                  <m:t>W,b</m:t>
                                </m:r>
                              </m:sub>
                              <m:sup>
                                <m:r>
                                  <w:rPr>
                                    <w:rFonts w:ascii="Cambria Math" w:hAnsi="Cambria Math"/>
                                    <w:sz w:val="20"/>
                                    <w:szCs w:val="20"/>
                                  </w:rPr>
                                  <m:t>'</m:t>
                                </m:r>
                              </m:sup>
                            </m:sSubSup>
                            <m:d>
                              <m:dPr>
                                <m:ctrlPr>
                                  <w:rPr>
                                    <w:rFonts w:ascii="Cambria Math" w:hAnsi="Cambria Math"/>
                                    <w:i/>
                                    <w:iCs/>
                                    <w:sz w:val="20"/>
                                    <w:szCs w:val="20"/>
                                  </w:rPr>
                                </m:ctrlPr>
                              </m:dPr>
                              <m:e>
                                <m:r>
                                  <w:rPr>
                                    <w:rFonts w:ascii="Cambria Math" w:hAnsi="Cambria Math"/>
                                    <w:sz w:val="20"/>
                                    <w:szCs w:val="20"/>
                                  </w:rPr>
                                  <m:t>i</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m:t>
                                </m:r>
                              </m:e>
                            </m:d>
                          </m:e>
                        </m:d>
                        <m:sSup>
                          <m:sSupPr>
                            <m:ctrlPr>
                              <w:rPr>
                                <w:rFonts w:ascii="Cambria Math" w:hAnsi="Cambria Math"/>
                                <w:i/>
                                <w:iCs/>
                                <w:sz w:val="20"/>
                                <w:szCs w:val="20"/>
                              </w:rPr>
                            </m:ctrlPr>
                          </m:sSupPr>
                          <m:e>
                            <m:r>
                              <m:rPr>
                                <m:lit/>
                              </m:rPr>
                              <w:rPr>
                                <w:rFonts w:ascii="Cambria Math" w:hAnsi="Cambria Math"/>
                                <w:sz w:val="20"/>
                                <w:szCs w:val="20"/>
                              </w:rPr>
                              <m:t>|</m:t>
                            </m:r>
                          </m:e>
                          <m:sup>
                            <m:r>
                              <w:rPr>
                                <w:rFonts w:ascii="Cambria Math" w:hAnsi="Cambria Math"/>
                                <w:sz w:val="20"/>
                                <w:szCs w:val="20"/>
                              </w:rPr>
                              <m:t>2</m:t>
                            </m:r>
                          </m:sup>
                        </m:sSup>
                      </m:e>
                    </m:nary>
                  </m:e>
                </m:d>
                <m:r>
                  <w:rPr>
                    <w:rFonts w:ascii="Cambria Math" w:hAnsi="Cambria Math"/>
                    <w:sz w:val="20"/>
                    <w:szCs w:val="20"/>
                  </w:rPr>
                  <m:t>+</m:t>
                </m:r>
                <m:f>
                  <m:fPr>
                    <m:ctrlPr>
                      <w:rPr>
                        <w:rFonts w:ascii="Cambria Math" w:hAnsi="Cambria Math"/>
                        <w:iCs/>
                        <w:sz w:val="20"/>
                        <w:szCs w:val="20"/>
                      </w:rPr>
                    </m:ctrlPr>
                  </m:fPr>
                  <m:num>
                    <m:r>
                      <m:rPr>
                        <m:sty m:val="p"/>
                      </m:rPr>
                      <w:rPr>
                        <w:rFonts w:ascii="Cambria Math" w:hAnsi="Cambria Math"/>
                        <w:sz w:val="20"/>
                        <w:szCs w:val="20"/>
                      </w:rPr>
                      <m:t>λ</m:t>
                    </m:r>
                    <m:ctrlPr>
                      <w:rPr>
                        <w:rFonts w:ascii="Cambria Math" w:hAnsi="Cambria Math"/>
                        <w:i/>
                        <w:iCs/>
                        <w:sz w:val="20"/>
                        <w:szCs w:val="20"/>
                      </w:rPr>
                    </m:ctrlPr>
                  </m:num>
                  <m:den>
                    <m:r>
                      <w:rPr>
                        <w:rFonts w:ascii="Cambria Math" w:hAnsi="Cambria Math"/>
                        <w:sz w:val="20"/>
                        <w:szCs w:val="20"/>
                      </w:rPr>
                      <m:t>2N</m:t>
                    </m:r>
                    <m:ctrlPr>
                      <w:rPr>
                        <w:rFonts w:ascii="Cambria Math" w:hAnsi="Cambria Math"/>
                        <w:i/>
                        <w:iCs/>
                        <w:sz w:val="20"/>
                        <w:szCs w:val="20"/>
                      </w:rPr>
                    </m:ctrlPr>
                  </m:den>
                </m:f>
                <m:nary>
                  <m:naryPr>
                    <m:chr m:val="∑"/>
                    <m:ctrlPr>
                      <w:rPr>
                        <w:rFonts w:ascii="Cambria Math" w:hAnsi="Cambria Math"/>
                        <w:iCs/>
                        <w:sz w:val="20"/>
                        <w:szCs w:val="20"/>
                      </w:rPr>
                    </m:ctrlPr>
                  </m:naryPr>
                  <m:sub>
                    <m:r>
                      <w:rPr>
                        <w:rFonts w:ascii="Cambria Math" w:hAnsi="Cambria Math"/>
                        <w:sz w:val="20"/>
                        <w:szCs w:val="20"/>
                      </w:rPr>
                      <m:t>l=1</m:t>
                    </m:r>
                    <m:ctrlPr>
                      <w:rPr>
                        <w:rFonts w:ascii="Cambria Math" w:hAnsi="Cambria Math"/>
                        <w:i/>
                        <w:iCs/>
                        <w:sz w:val="20"/>
                        <w:szCs w:val="20"/>
                      </w:rPr>
                    </m:ctrlPr>
                  </m:sub>
                  <m:sup>
                    <m:r>
                      <w:rPr>
                        <w:rFonts w:ascii="Cambria Math" w:hAnsi="Cambria Math"/>
                        <w:sz w:val="20"/>
                        <w:szCs w:val="20"/>
                      </w:rPr>
                      <m:t>L</m:t>
                    </m:r>
                    <m:ctrlPr>
                      <w:rPr>
                        <w:rFonts w:ascii="Cambria Math" w:hAnsi="Cambria Math"/>
                        <w:i/>
                        <w:iCs/>
                        <w:sz w:val="20"/>
                        <w:szCs w:val="20"/>
                      </w:rPr>
                    </m:ctrlPr>
                  </m:sup>
                  <m:e>
                    <m:d>
                      <m:dPr>
                        <m:begChr m:val=""/>
                        <m:endChr m:val=""/>
                        <m:ctrlPr>
                          <w:rPr>
                            <w:rFonts w:ascii="Cambria Math" w:hAnsi="Cambria Math"/>
                            <w:iCs/>
                            <w:sz w:val="20"/>
                            <w:szCs w:val="20"/>
                          </w:rPr>
                        </m:ctrlPr>
                      </m:dPr>
                      <m:e>
                        <m:r>
                          <m:rPr>
                            <m:lit/>
                          </m:rP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W</m:t>
                            </m:r>
                          </m:e>
                          <m:sup>
                            <m:d>
                              <m:dPr>
                                <m:ctrlPr>
                                  <w:rPr>
                                    <w:rFonts w:ascii="Cambria Math" w:hAnsi="Cambria Math"/>
                                    <w:i/>
                                    <w:iCs/>
                                    <w:sz w:val="20"/>
                                    <w:szCs w:val="20"/>
                                  </w:rPr>
                                </m:ctrlPr>
                              </m:dPr>
                              <m:e>
                                <m:r>
                                  <w:rPr>
                                    <w:rFonts w:ascii="Cambria Math" w:hAnsi="Cambria Math"/>
                                    <w:sz w:val="20"/>
                                    <w:szCs w:val="20"/>
                                  </w:rPr>
                                  <m:t>l</m:t>
                                </m:r>
                              </m:e>
                            </m:d>
                          </m:sup>
                        </m:sSup>
                      </m:e>
                    </m:d>
                    <m:sSubSup>
                      <m:sSubSupPr>
                        <m:ctrlPr>
                          <w:rPr>
                            <w:rFonts w:ascii="Cambria Math" w:hAnsi="Cambria Math"/>
                            <w:i/>
                            <w:iCs/>
                            <w:sz w:val="20"/>
                            <w:szCs w:val="20"/>
                          </w:rPr>
                        </m:ctrlPr>
                      </m:sSubSupPr>
                      <m:e>
                        <m:r>
                          <m:rPr>
                            <m:lit/>
                          </m:rPr>
                          <w:rPr>
                            <w:rFonts w:ascii="Cambria Math" w:hAnsi="Cambria Math"/>
                            <w:sz w:val="20"/>
                            <w:szCs w:val="20"/>
                          </w:rPr>
                          <m:t>|</m:t>
                        </m:r>
                      </m:e>
                      <m:sub>
                        <m:r>
                          <w:rPr>
                            <w:rFonts w:ascii="Cambria Math" w:hAnsi="Cambria Math"/>
                            <w:sz w:val="20"/>
                            <w:szCs w:val="20"/>
                          </w:rPr>
                          <m:t>F</m:t>
                        </m:r>
                      </m:sub>
                      <m:sup>
                        <m:r>
                          <w:rPr>
                            <w:rFonts w:ascii="Cambria Math" w:hAnsi="Cambria Math"/>
                            <w:sz w:val="20"/>
                            <w:szCs w:val="20"/>
                          </w:rPr>
                          <m:t>2</m:t>
                        </m:r>
                      </m:sup>
                    </m:sSubSup>
                  </m:e>
                </m:nary>
              </m:oMath>
            </m:oMathPara>
          </w:p>
        </w:tc>
        <w:tc>
          <w:tcPr>
            <w:tcW w:w="1165" w:type="dxa"/>
          </w:tcPr>
          <w:p w14:paraId="51BC64A0" w14:textId="2875200C" w:rsidR="003D6F18" w:rsidRDefault="003D6F18"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9</w:t>
            </w:r>
            <w:r>
              <w:rPr>
                <w:sz w:val="20"/>
                <w:szCs w:val="20"/>
              </w:rPr>
              <w:fldChar w:fldCharType="end"/>
            </w:r>
            <w:r>
              <w:rPr>
                <w:sz w:val="20"/>
                <w:szCs w:val="20"/>
              </w:rPr>
              <w:t>)</w:t>
            </w:r>
          </w:p>
        </w:tc>
      </w:tr>
      <w:tr w:rsidR="003D6F18" w14:paraId="04A8E06C" w14:textId="77777777" w:rsidTr="00114B88">
        <w:trPr>
          <w:trHeight w:val="674"/>
        </w:trPr>
        <w:tc>
          <w:tcPr>
            <w:tcW w:w="1075" w:type="dxa"/>
          </w:tcPr>
          <w:p w14:paraId="0192A10C" w14:textId="77777777" w:rsidR="003D6F18" w:rsidRDefault="003D6F18" w:rsidP="00114B88">
            <w:pPr>
              <w:spacing w:line="480" w:lineRule="auto"/>
              <w:jc w:val="center"/>
              <w:rPr>
                <w:sz w:val="20"/>
                <w:szCs w:val="20"/>
              </w:rPr>
            </w:pPr>
          </w:p>
        </w:tc>
        <w:tc>
          <w:tcPr>
            <w:tcW w:w="7110" w:type="dxa"/>
          </w:tcPr>
          <w:p w14:paraId="7138F437" w14:textId="5CCAAA97" w:rsidR="003D6F18" w:rsidRPr="008B31BA" w:rsidRDefault="00B62712" w:rsidP="00114B88">
            <w:pPr>
              <w:spacing w:line="480" w:lineRule="auto"/>
              <w:jc w:val="center"/>
              <w:rPr>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J</m:t>
                    </m:r>
                  </m:e>
                  <m:sub>
                    <m:r>
                      <m:rPr>
                        <m:sty m:val="bi"/>
                      </m:rPr>
                      <w:rPr>
                        <w:rFonts w:ascii="Cambria Math" w:hAnsi="Cambria Math"/>
                        <w:sz w:val="20"/>
                        <w:szCs w:val="20"/>
                      </w:rPr>
                      <m:t>sparse</m:t>
                    </m:r>
                  </m:sub>
                </m:sSub>
                <m:d>
                  <m:dPr>
                    <m:ctrlPr>
                      <w:rPr>
                        <w:rFonts w:ascii="Cambria Math" w:hAnsi="Cambria Math"/>
                        <w:b/>
                        <w:bCs/>
                        <w:i/>
                        <w:sz w:val="20"/>
                        <w:szCs w:val="20"/>
                      </w:rPr>
                    </m:ctrlPr>
                  </m:dPr>
                  <m:e>
                    <m:r>
                      <m:rPr>
                        <m:sty m:val="bi"/>
                      </m:rPr>
                      <w:rPr>
                        <w:rFonts w:ascii="Cambria Math" w:hAnsi="Cambria Math"/>
                        <w:sz w:val="20"/>
                        <w:szCs w:val="20"/>
                      </w:rPr>
                      <m:t>W,b</m:t>
                    </m:r>
                  </m:e>
                </m:d>
                <m:r>
                  <w:rPr>
                    <w:rFonts w:ascii="Cambria Math" w:hAnsi="Cambria Math"/>
                    <w:sz w:val="20"/>
                    <w:szCs w:val="20"/>
                  </w:rPr>
                  <m:t>=J</m:t>
                </m:r>
                <m:d>
                  <m:dPr>
                    <m:ctrlPr>
                      <w:rPr>
                        <w:rFonts w:ascii="Cambria Math" w:hAnsi="Cambria Math"/>
                        <w:i/>
                        <w:sz w:val="20"/>
                        <w:szCs w:val="20"/>
                      </w:rPr>
                    </m:ctrlPr>
                  </m:dPr>
                  <m:e>
                    <m:r>
                      <w:rPr>
                        <w:rFonts w:ascii="Cambria Math" w:hAnsi="Cambria Math"/>
                        <w:sz w:val="20"/>
                        <w:szCs w:val="20"/>
                      </w:rPr>
                      <m:t>W,b</m:t>
                    </m:r>
                  </m:e>
                </m:d>
                <m:r>
                  <w:rPr>
                    <w:rFonts w:ascii="Cambria Math" w:hAnsi="Cambria Math"/>
                    <w:sz w:val="20"/>
                    <w:szCs w:val="20"/>
                  </w:rPr>
                  <m:t>+</m:t>
                </m:r>
                <m:r>
                  <m:rPr>
                    <m:sty m:val="p"/>
                  </m:rPr>
                  <w:rPr>
                    <w:rFonts w:ascii="Cambria Math" w:hAnsi="Cambria Math"/>
                    <w:sz w:val="20"/>
                    <w:szCs w:val="20"/>
                  </w:rPr>
                  <m:t>β</m:t>
                </m:r>
                <m:nary>
                  <m:naryPr>
                    <m:chr m:val="∑"/>
                    <m:ctrlPr>
                      <w:rPr>
                        <w:rFonts w:ascii="Cambria Math" w:hAnsi="Cambria Math"/>
                        <w:sz w:val="20"/>
                        <w:szCs w:val="20"/>
                      </w:rPr>
                    </m:ctrlPr>
                  </m:naryPr>
                  <m:sub>
                    <m:r>
                      <m:rPr>
                        <m:sty m:val="p"/>
                      </m:rPr>
                      <w:rPr>
                        <w:rFonts w:ascii="Cambria Math" w:hAnsi="Cambria Math"/>
                        <w:sz w:val="20"/>
                        <w:szCs w:val="20"/>
                      </w:rPr>
                      <m:t>j=1</m:t>
                    </m:r>
                  </m:sub>
                  <m:sup>
                    <m:r>
                      <m:rPr>
                        <m:sty m:val="p"/>
                      </m:rPr>
                      <w:rPr>
                        <w:rFonts w:ascii="Cambria Math" w:hAnsi="Cambria Math"/>
                        <w:sz w:val="20"/>
                        <w:szCs w:val="20"/>
                      </w:rPr>
                      <m:t>s2</m:t>
                    </m:r>
                  </m:sup>
                  <m:e>
                    <m:r>
                      <m:rPr>
                        <m:sty m:val="p"/>
                      </m:rPr>
                      <w:rPr>
                        <w:rFonts w:ascii="Cambria Math" w:hAnsi="Cambria Math"/>
                        <w:sz w:val="20"/>
                        <w:szCs w:val="20"/>
                      </w:rPr>
                      <m:t>KL</m:t>
                    </m:r>
                    <m:d>
                      <m:dPr>
                        <m:ctrlPr>
                          <w:rPr>
                            <w:rFonts w:ascii="Cambria Math" w:hAnsi="Cambria Math"/>
                            <w:sz w:val="20"/>
                            <w:szCs w:val="20"/>
                          </w:rPr>
                        </m:ctrlPr>
                      </m:dPr>
                      <m:e>
                        <m:r>
                          <m:rPr>
                            <m:sty m:val="p"/>
                          </m:rPr>
                          <w:rPr>
                            <w:rFonts w:ascii="Cambria Math" w:hAnsi="Cambria Math"/>
                            <w:sz w:val="20"/>
                            <w:szCs w:val="20"/>
                          </w:rPr>
                          <m:t>ρ</m:t>
                        </m:r>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ρ</m:t>
                            </m:r>
                          </m:e>
                          <m:sub>
                            <m:r>
                              <w:rPr>
                                <w:rFonts w:ascii="Cambria Math" w:hAnsi="Cambria Math"/>
                                <w:sz w:val="20"/>
                                <w:szCs w:val="20"/>
                              </w:rPr>
                              <m:t>j</m:t>
                            </m:r>
                          </m:sub>
                        </m:sSub>
                      </m:e>
                    </m:d>
                  </m:e>
                </m:nary>
              </m:oMath>
            </m:oMathPara>
          </w:p>
          <w:p w14:paraId="30FDDE4A" w14:textId="77777777" w:rsidR="003D6F18" w:rsidRDefault="003D6F18" w:rsidP="00114B88">
            <w:pPr>
              <w:spacing w:line="480" w:lineRule="auto"/>
              <w:jc w:val="center"/>
              <w:rPr>
                <w:sz w:val="20"/>
                <w:szCs w:val="20"/>
              </w:rPr>
            </w:pPr>
          </w:p>
        </w:tc>
        <w:tc>
          <w:tcPr>
            <w:tcW w:w="1165" w:type="dxa"/>
          </w:tcPr>
          <w:p w14:paraId="16458916" w14:textId="3183B050" w:rsidR="003D6F18" w:rsidRDefault="003D6F18" w:rsidP="00114B88">
            <w:pPr>
              <w:spacing w:line="480" w:lineRule="auto"/>
              <w:jc w:val="center"/>
              <w:rPr>
                <w:sz w:val="20"/>
                <w:szCs w:val="20"/>
              </w:rPr>
            </w:pPr>
            <w:r>
              <w:rPr>
                <w:sz w:val="20"/>
                <w:szCs w:val="20"/>
              </w:rPr>
              <w:t>(</w:t>
            </w:r>
            <w:r>
              <w:rPr>
                <w:sz w:val="20"/>
                <w:szCs w:val="20"/>
              </w:rPr>
              <w:fldChar w:fldCharType="begin"/>
            </w:r>
            <w:r>
              <w:rPr>
                <w:sz w:val="20"/>
                <w:szCs w:val="20"/>
              </w:rPr>
              <w:instrText xml:space="preserve"> SEQ Eq \* MERGEFORMAT </w:instrText>
            </w:r>
            <w:r>
              <w:rPr>
                <w:sz w:val="20"/>
                <w:szCs w:val="20"/>
              </w:rPr>
              <w:fldChar w:fldCharType="separate"/>
            </w:r>
            <w:r>
              <w:rPr>
                <w:noProof/>
                <w:sz w:val="20"/>
                <w:szCs w:val="20"/>
              </w:rPr>
              <w:t>10</w:t>
            </w:r>
            <w:r>
              <w:rPr>
                <w:sz w:val="20"/>
                <w:szCs w:val="20"/>
              </w:rPr>
              <w:fldChar w:fldCharType="end"/>
            </w:r>
            <w:r>
              <w:rPr>
                <w:sz w:val="20"/>
                <w:szCs w:val="20"/>
              </w:rPr>
              <w:t>)</w:t>
            </w:r>
          </w:p>
        </w:tc>
      </w:tr>
    </w:tbl>
    <w:p w14:paraId="664DF019" w14:textId="6EE6661C" w:rsidR="00BD1820" w:rsidRDefault="003C4D03" w:rsidP="00ED147C">
      <w:pPr>
        <w:pStyle w:val="AMIAHeading"/>
        <w:spacing w:line="480" w:lineRule="auto"/>
        <w:jc w:val="left"/>
        <w:rPr>
          <w:b w:val="0"/>
          <w:bCs/>
        </w:rPr>
      </w:pPr>
      <w:r>
        <w:rPr>
          <w:b w:val="0"/>
          <w:bCs/>
        </w:rPr>
        <w:fldChar w:fldCharType="begin"/>
      </w:r>
      <w:r>
        <w:rPr>
          <w:b w:val="0"/>
          <w:bCs/>
        </w:rPr>
        <w:instrText xml:space="preserve"> REF Fig1 \h </w:instrText>
      </w:r>
      <w:r>
        <w:rPr>
          <w:b w:val="0"/>
          <w:bCs/>
        </w:rPr>
      </w:r>
      <w:r>
        <w:rPr>
          <w:b w:val="0"/>
          <w:bCs/>
        </w:rPr>
        <w:fldChar w:fldCharType="separate"/>
      </w:r>
      <w:r>
        <w:rPr>
          <w:b w:val="0"/>
          <w:bCs/>
        </w:rPr>
        <w:fldChar w:fldCharType="end"/>
      </w:r>
      <w:r>
        <w:rPr>
          <w:b w:val="0"/>
          <w:bCs/>
        </w:rPr>
        <w:fldChar w:fldCharType="begin"/>
      </w:r>
      <w:r>
        <w:rPr>
          <w:b w:val="0"/>
          <w:bCs/>
        </w:rPr>
        <w:instrText xml:space="preserve"> REF Fig1 \h </w:instrText>
      </w:r>
      <w:r>
        <w:rPr>
          <w:b w:val="0"/>
          <w:bCs/>
        </w:rPr>
      </w:r>
      <w:r>
        <w:rPr>
          <w:b w:val="0"/>
          <w:bCs/>
        </w:rPr>
        <w:fldChar w:fldCharType="separate"/>
      </w:r>
      <w:r>
        <w:rPr>
          <w:b w:val="0"/>
          <w:bCs/>
        </w:rPr>
        <w:fldChar w:fldCharType="end"/>
      </w:r>
      <w:r w:rsidR="003B68BE" w:rsidRPr="003B68BE">
        <w:rPr>
          <w:b w:val="0"/>
          <w:bCs/>
        </w:rPr>
        <w:t xml:space="preserve">where </w:t>
      </w:r>
      <m:oMath>
        <m:r>
          <m:rPr>
            <m:sty m:val="p"/>
          </m:rPr>
          <w:rPr>
            <w:rFonts w:ascii="Cambria Math" w:hAnsi="Cambria Math"/>
          </w:rPr>
          <m:t>λ</m:t>
        </m:r>
      </m:oMath>
      <w:r w:rsidR="003B68BE" w:rsidRPr="003B68BE">
        <w:rPr>
          <w:b w:val="0"/>
          <w:bCs/>
        </w:rPr>
        <w:t xml:space="preserve"> is the regularization parameter, </w:t>
      </w:r>
      <m:oMath>
        <m:sSup>
          <m:sSupPr>
            <m:ctrlPr>
              <w:rPr>
                <w:rFonts w:ascii="Cambria Math" w:hAnsi="Cambria Math"/>
                <w:b w:val="0"/>
                <w:bCs/>
                <w:i/>
              </w:rPr>
            </m:ctrlPr>
          </m:sSupPr>
          <m:e>
            <m:r>
              <w:rPr>
                <w:rFonts w:ascii="Cambria Math" w:hAnsi="Cambria Math"/>
              </w:rPr>
              <m:t>W</m:t>
            </m:r>
          </m:e>
          <m:sup>
            <m:d>
              <m:dPr>
                <m:ctrlPr>
                  <w:rPr>
                    <w:rFonts w:ascii="Cambria Math" w:hAnsi="Cambria Math"/>
                    <w:b w:val="0"/>
                    <w:bCs/>
                    <w:i/>
                  </w:rPr>
                </m:ctrlPr>
              </m:dPr>
              <m:e>
                <m:r>
                  <w:rPr>
                    <w:rFonts w:ascii="Cambria Math" w:hAnsi="Cambria Math"/>
                  </w:rPr>
                  <m:t>l</m:t>
                </m:r>
              </m:e>
            </m:d>
          </m:sup>
        </m:sSup>
      </m:oMath>
      <w:r w:rsidR="003B68BE" w:rsidRPr="003B68BE">
        <w:rPr>
          <w:b w:val="0"/>
          <w:bCs/>
        </w:rPr>
        <w:t xml:space="preserve"> is the weight matrix corresponding to </w:t>
      </w:r>
      <m:oMath>
        <m:sSup>
          <m:sSupPr>
            <m:ctrlPr>
              <w:rPr>
                <w:rFonts w:ascii="Cambria Math" w:hAnsi="Cambria Math"/>
                <w:b w:val="0"/>
                <w:bCs/>
                <w:i/>
              </w:rPr>
            </m:ctrlPr>
          </m:sSupPr>
          <m:e>
            <m:r>
              <w:rPr>
                <w:rFonts w:ascii="Cambria Math" w:hAnsi="Cambria Math"/>
              </w:rPr>
              <m:t>l</m:t>
            </m:r>
          </m:e>
          <m:sup>
            <m:r>
              <w:rPr>
                <w:rFonts w:ascii="Cambria Math" w:hAnsi="Cambria Math"/>
              </w:rPr>
              <m:t>th</m:t>
            </m:r>
          </m:sup>
        </m:sSup>
      </m:oMath>
      <w:r w:rsidR="003B68BE" w:rsidRPr="003B68BE">
        <w:rPr>
          <w:b w:val="0"/>
          <w:bCs/>
        </w:rPr>
        <w:t xml:space="preserve"> layer of the network, </w:t>
      </w:r>
      <m:oMath>
        <m:r>
          <w:rPr>
            <w:rFonts w:ascii="Cambria Math" w:hAnsi="Cambria Math"/>
          </w:rPr>
          <m:t>s2</m:t>
        </m:r>
      </m:oMath>
      <w:r w:rsidR="003B68BE" w:rsidRPr="003B68BE">
        <w:rPr>
          <w:b w:val="0"/>
          <w:bCs/>
        </w:rPr>
        <w:t xml:space="preserve"> is the number of neurons in the </w:t>
      </w:r>
      <m:oMath>
        <m:sSup>
          <m:sSupPr>
            <m:ctrlPr>
              <w:rPr>
                <w:rFonts w:ascii="Cambria Math" w:hAnsi="Cambria Math"/>
                <w:b w:val="0"/>
                <w:bCs/>
                <w:i/>
              </w:rPr>
            </m:ctrlPr>
          </m:sSupPr>
          <m:e>
            <m:r>
              <w:rPr>
                <w:rFonts w:ascii="Cambria Math" w:hAnsi="Cambria Math"/>
              </w:rPr>
              <m:t>2</m:t>
            </m:r>
          </m:e>
          <m:sup>
            <m:r>
              <w:rPr>
                <w:rFonts w:ascii="Cambria Math" w:hAnsi="Cambria Math"/>
              </w:rPr>
              <m:t>nd</m:t>
            </m:r>
          </m:sup>
        </m:sSup>
      </m:oMath>
      <w:r w:rsidR="003B68BE" w:rsidRPr="003B68BE">
        <w:rPr>
          <w:b w:val="0"/>
          <w:bCs/>
        </w:rPr>
        <w:t xml:space="preserve"> hidden layer, </w:t>
      </w:r>
      <m:oMath>
        <m:r>
          <m:rPr>
            <m:sty m:val="p"/>
          </m:rPr>
          <w:rPr>
            <w:rFonts w:ascii="Cambria Math" w:hAnsi="Cambria Math"/>
          </w:rPr>
          <m:t>β</m:t>
        </m:r>
      </m:oMath>
      <w:r w:rsidR="003B68BE" w:rsidRPr="003B68BE">
        <w:rPr>
          <w:b w:val="0"/>
          <w:bCs/>
        </w:rPr>
        <w:t xml:space="preserve"> is the weight of the sparsity penalty, </w:t>
      </w:r>
      <m:oMath>
        <m:r>
          <w:rPr>
            <w:rFonts w:ascii="Cambria Math" w:hAnsi="Cambria Math"/>
          </w:rPr>
          <m:t>KL</m:t>
        </m:r>
      </m:oMath>
      <w:r w:rsidR="003B68BE" w:rsidRPr="003B68BE">
        <w:rPr>
          <w:b w:val="0"/>
          <w:bCs/>
        </w:rPr>
        <w:t xml:space="preserve"> is the Kullback-Leibler </w:t>
      </w:r>
      <w:r w:rsidR="003B68BE" w:rsidRPr="003B68BE">
        <w:rPr>
          <w:b w:val="0"/>
          <w:bCs/>
        </w:rPr>
        <w:lastRenderedPageBreak/>
        <w:t xml:space="preserve">divergence, and the subscript </w:t>
      </w:r>
      <m:oMath>
        <m:r>
          <w:rPr>
            <w:rFonts w:ascii="Cambria Math" w:hAnsi="Cambria Math"/>
          </w:rPr>
          <m:t>F</m:t>
        </m:r>
      </m:oMath>
      <w:r w:rsidR="003B68BE" w:rsidRPr="003B68BE">
        <w:rPr>
          <w:b w:val="0"/>
          <w:bCs/>
        </w:rPr>
        <w:t xml:space="preserve"> is the Frobenius norm (equivalent to the squared norm of the weight matrix). The </w:t>
      </w:r>
      <m:oMath>
        <m:sSub>
          <m:sSubPr>
            <m:ctrlPr>
              <w:rPr>
                <w:rFonts w:ascii="Cambria Math" w:hAnsi="Cambria Math"/>
                <w:b w:val="0"/>
                <w:bCs/>
                <w:i/>
              </w:rPr>
            </m:ctrlPr>
          </m:sSubPr>
          <m:e>
            <m:r>
              <w:rPr>
                <w:rFonts w:ascii="Cambria Math" w:hAnsi="Cambria Math"/>
              </w:rPr>
              <m:t>J</m:t>
            </m:r>
          </m:e>
          <m:sub>
            <m:r>
              <w:rPr>
                <w:rFonts w:ascii="Cambria Math" w:hAnsi="Cambria Math"/>
              </w:rPr>
              <m:t>sparse</m:t>
            </m:r>
          </m:sub>
        </m:sSub>
        <m:d>
          <m:dPr>
            <m:ctrlPr>
              <w:rPr>
                <w:rFonts w:ascii="Cambria Math" w:hAnsi="Cambria Math"/>
                <w:b w:val="0"/>
                <w:bCs/>
                <w:i/>
              </w:rPr>
            </m:ctrlPr>
          </m:dPr>
          <m:e>
            <m:r>
              <w:rPr>
                <w:rFonts w:ascii="Cambria Math" w:hAnsi="Cambria Math"/>
              </w:rPr>
              <m:t>W,b</m:t>
            </m:r>
          </m:e>
        </m:d>
      </m:oMath>
      <w:r w:rsidR="003B68BE" w:rsidRPr="003B68BE">
        <w:rPr>
          <w:b w:val="0"/>
          <w:bCs/>
        </w:rPr>
        <w:t xml:space="preserve"> is minimized using backpropagation, for </w:t>
      </w:r>
      <m:oMath>
        <m:sSub>
          <m:sSubPr>
            <m:ctrlPr>
              <w:rPr>
                <w:rFonts w:ascii="Cambria Math" w:hAnsi="Cambria Math"/>
                <w:b w:val="0"/>
                <w:bCs/>
                <w:i/>
              </w:rPr>
            </m:ctrlPr>
          </m:sSubPr>
          <m:e>
            <m:r>
              <w:rPr>
                <w:rFonts w:ascii="Cambria Math" w:hAnsi="Cambria Math"/>
              </w:rPr>
              <m:t>K</m:t>
            </m:r>
          </m:e>
          <m:sub>
            <m:r>
              <w:rPr>
                <w:rFonts w:ascii="Cambria Math" w:hAnsi="Cambria Math"/>
              </w:rPr>
              <m:t>sa</m:t>
            </m:r>
          </m:sub>
        </m:sSub>
      </m:oMath>
      <w:r w:rsidR="003B68BE" w:rsidRPr="003B68BE">
        <w:rPr>
          <w:b w:val="0"/>
          <w:bCs/>
        </w:rPr>
        <w:t xml:space="preserve"> number of epochs.</w:t>
      </w:r>
    </w:p>
    <w:p w14:paraId="17E835D0" w14:textId="426526EF" w:rsidR="00572393" w:rsidRDefault="00572393" w:rsidP="00ED147C">
      <w:pPr>
        <w:pStyle w:val="AMIAHeading"/>
        <w:spacing w:line="480" w:lineRule="auto"/>
        <w:jc w:val="left"/>
        <w:rPr>
          <w:b w:val="0"/>
          <w:bCs/>
        </w:rPr>
      </w:pPr>
    </w:p>
    <w:p w14:paraId="5DB10974" w14:textId="77777777" w:rsidR="001C16EF" w:rsidRDefault="00C01D8B" w:rsidP="001C16EF">
      <w:pPr>
        <w:pStyle w:val="AMIAHeading"/>
        <w:spacing w:line="480" w:lineRule="auto"/>
        <w:jc w:val="left"/>
        <w:rPr>
          <w:b w:val="0"/>
          <w:bCs/>
        </w:rPr>
      </w:pPr>
      <w:r>
        <w:rPr>
          <w:b w:val="0"/>
          <w:bCs/>
          <w:noProof/>
        </w:rPr>
        <w:drawing>
          <wp:inline distT="0" distB="0" distL="0" distR="0" wp14:anchorId="5B3739B4" wp14:editId="5060A24A">
            <wp:extent cx="3898900" cy="317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898900" cy="3175000"/>
                    </a:xfrm>
                    <a:prstGeom prst="rect">
                      <a:avLst/>
                    </a:prstGeom>
                  </pic:spPr>
                </pic:pic>
              </a:graphicData>
            </a:graphic>
          </wp:inline>
        </w:drawing>
      </w:r>
    </w:p>
    <w:p w14:paraId="5706991D" w14:textId="70636303" w:rsidR="00C01D8B" w:rsidRPr="001C16EF" w:rsidRDefault="00C01D8B" w:rsidP="001C16EF">
      <w:pPr>
        <w:pStyle w:val="AMIAHeading"/>
        <w:spacing w:line="480" w:lineRule="auto"/>
        <w:jc w:val="left"/>
        <w:rPr>
          <w:b w:val="0"/>
          <w:bCs/>
        </w:rPr>
      </w:pPr>
      <w:bookmarkStart w:id="3" w:name="Figure2"/>
      <w:r>
        <w:rPr>
          <w:b w:val="0"/>
          <w:bCs/>
          <w:sz w:val="15"/>
          <w:szCs w:val="15"/>
        </w:rPr>
        <w:t xml:space="preserve">Figure </w:t>
      </w:r>
      <w:r w:rsidR="001C16EF">
        <w:rPr>
          <w:b w:val="0"/>
          <w:bCs/>
          <w:sz w:val="15"/>
          <w:szCs w:val="15"/>
        </w:rPr>
        <w:t>2</w:t>
      </w:r>
      <w:bookmarkEnd w:id="3"/>
      <w:r>
        <w:rPr>
          <w:b w:val="0"/>
          <w:bCs/>
          <w:sz w:val="15"/>
          <w:szCs w:val="15"/>
        </w:rPr>
        <w:t xml:space="preserve">: </w:t>
      </w:r>
      <w:r w:rsidRPr="00003E98">
        <w:rPr>
          <w:b w:val="0"/>
          <w:bCs/>
          <w:sz w:val="15"/>
          <w:szCs w:val="15"/>
        </w:rPr>
        <w:t xml:space="preserve">Architecture of a deep stacked sparse autoencoder with the sparsity constraint enforced in the </w:t>
      </w:r>
      <m:oMath>
        <m:sSup>
          <m:sSupPr>
            <m:ctrlPr>
              <w:rPr>
                <w:rFonts w:ascii="Cambria Math" w:hAnsi="Cambria Math"/>
                <w:b w:val="0"/>
                <w:bCs/>
                <w:i/>
                <w:sz w:val="15"/>
                <w:szCs w:val="15"/>
              </w:rPr>
            </m:ctrlPr>
          </m:sSupPr>
          <m:e>
            <m:r>
              <w:rPr>
                <w:rFonts w:ascii="Cambria Math" w:hAnsi="Cambria Math"/>
                <w:sz w:val="15"/>
                <w:szCs w:val="15"/>
              </w:rPr>
              <m:t>2</m:t>
            </m:r>
          </m:e>
          <m:sup>
            <m:r>
              <w:rPr>
                <w:rFonts w:ascii="Cambria Math" w:hAnsi="Cambria Math"/>
                <w:sz w:val="15"/>
                <w:szCs w:val="15"/>
              </w:rPr>
              <m:t>nd</m:t>
            </m:r>
          </m:sup>
        </m:sSup>
      </m:oMath>
      <w:r w:rsidRPr="00003E98">
        <w:rPr>
          <w:b w:val="0"/>
          <w:bCs/>
          <w:sz w:val="15"/>
          <w:szCs w:val="15"/>
        </w:rPr>
        <w:t xml:space="preserve"> layer</w:t>
      </w:r>
      <w:r>
        <w:rPr>
          <w:b w:val="0"/>
          <w:bCs/>
          <w:sz w:val="15"/>
          <w:szCs w:val="15"/>
        </w:rPr>
        <w:t xml:space="preserve"> (brighter</w:t>
      </w:r>
      <w:r w:rsidRPr="00003E98">
        <w:rPr>
          <w:b w:val="0"/>
          <w:bCs/>
          <w:sz w:val="15"/>
          <w:szCs w:val="15"/>
        </w:rPr>
        <w:t xml:space="preserve"> neurons are active</w:t>
      </w:r>
      <w:r>
        <w:rPr>
          <w:b w:val="0"/>
          <w:bCs/>
          <w:sz w:val="15"/>
          <w:szCs w:val="15"/>
        </w:rPr>
        <w:t>)</w:t>
      </w:r>
    </w:p>
    <w:p w14:paraId="3A973CDC" w14:textId="2B880A48" w:rsidR="00C01D8B" w:rsidRDefault="009D3A24" w:rsidP="00ED147C">
      <w:pPr>
        <w:pStyle w:val="AMIAHeading"/>
        <w:spacing w:line="480" w:lineRule="auto"/>
        <w:jc w:val="left"/>
        <w:rPr>
          <w:b w:val="0"/>
          <w:bCs/>
        </w:rPr>
      </w:pPr>
      <w:r w:rsidRPr="009D3A24">
        <w:rPr>
          <w:b w:val="0"/>
          <w:bCs/>
        </w:rPr>
        <w:t>The DPN-SA is trained in two phases. In the first phase the sparse autoencoder is trained and optimized (</w:t>
      </w:r>
      <m:oMath>
        <m:sSub>
          <m:sSubPr>
            <m:ctrlPr>
              <w:rPr>
                <w:rFonts w:ascii="Cambria Math" w:hAnsi="Cambria Math"/>
                <w:b w:val="0"/>
                <w:bCs/>
                <w:i/>
              </w:rPr>
            </m:ctrlPr>
          </m:sSubPr>
          <m:e>
            <m:r>
              <w:rPr>
                <w:rFonts w:ascii="Cambria Math" w:hAnsi="Cambria Math"/>
              </w:rPr>
              <m:t>K</m:t>
            </m:r>
          </m:e>
          <m:sub>
            <m:r>
              <w:rPr>
                <w:rFonts w:ascii="Cambria Math" w:hAnsi="Cambria Math"/>
              </w:rPr>
              <m:t>sa</m:t>
            </m:r>
          </m:sub>
        </m:sSub>
      </m:oMath>
      <w:r w:rsidR="008C3866">
        <w:rPr>
          <w:b w:val="0"/>
          <w:bCs/>
        </w:rPr>
        <w:t xml:space="preserve"> </w:t>
      </w:r>
      <w:r w:rsidRPr="009D3A24">
        <w:rPr>
          <w:b w:val="0"/>
          <w:bCs/>
        </w:rPr>
        <w:t>epochs). The parameters (</w:t>
      </w:r>
      <m:oMath>
        <m:r>
          <w:rPr>
            <w:rFonts w:ascii="Cambria Math" w:hAnsi="Cambria Math"/>
          </w:rPr>
          <m:t>W,b</m:t>
        </m:r>
      </m:oMath>
      <w:r w:rsidRPr="009D3A24">
        <w:rPr>
          <w:b w:val="0"/>
          <w:bCs/>
        </w:rPr>
        <w:t xml:space="preserve">) are updated by the Adam optimizer in each iteration. After the sparse autoencoder has learnt the latent representation of the covariates, the decoder part is removed and a </w:t>
      </w:r>
      <w:r w:rsidRPr="00012DE3">
        <w:rPr>
          <w:b w:val="0"/>
          <w:bCs/>
          <w:i/>
          <w:iCs/>
        </w:rPr>
        <w:t>softmax</w:t>
      </w:r>
      <w:r w:rsidRPr="009D3A24">
        <w:rPr>
          <w:b w:val="0"/>
          <w:bCs/>
        </w:rPr>
        <w:t xml:space="preserve"> classifier is attached to the end of the last encoder layer, as shown in </w:t>
      </w:r>
      <w:r w:rsidR="00473567" w:rsidRPr="00473567">
        <w:rPr>
          <w:b w:val="0"/>
          <w:bCs/>
        </w:rPr>
        <w:fldChar w:fldCharType="begin"/>
      </w:r>
      <w:r w:rsidR="00473567" w:rsidRPr="00473567">
        <w:rPr>
          <w:b w:val="0"/>
          <w:bCs/>
        </w:rPr>
        <w:instrText xml:space="preserve"> REF Figure2 \h </w:instrText>
      </w:r>
      <w:r w:rsidR="00473567" w:rsidRPr="00473567">
        <w:rPr>
          <w:b w:val="0"/>
          <w:bCs/>
        </w:rPr>
      </w:r>
      <w:r w:rsidR="00473567">
        <w:rPr>
          <w:b w:val="0"/>
          <w:bCs/>
        </w:rPr>
        <w:instrText xml:space="preserve"> \* MERGEFORMAT </w:instrText>
      </w:r>
      <w:r w:rsidR="00473567" w:rsidRPr="00473567">
        <w:rPr>
          <w:b w:val="0"/>
          <w:bCs/>
        </w:rPr>
        <w:fldChar w:fldCharType="separate"/>
      </w:r>
      <w:r w:rsidR="00473567" w:rsidRPr="00473567">
        <w:rPr>
          <w:b w:val="0"/>
          <w:bCs/>
        </w:rPr>
        <w:t>Fig</w:t>
      </w:r>
      <w:r w:rsidR="00473567" w:rsidRPr="00473567">
        <w:rPr>
          <w:b w:val="0"/>
          <w:bCs/>
        </w:rPr>
        <w:t>u</w:t>
      </w:r>
      <w:r w:rsidR="00473567" w:rsidRPr="00473567">
        <w:rPr>
          <w:b w:val="0"/>
          <w:bCs/>
        </w:rPr>
        <w:t>re 2</w:t>
      </w:r>
      <w:r w:rsidR="00473567" w:rsidRPr="00473567">
        <w:rPr>
          <w:b w:val="0"/>
          <w:bCs/>
        </w:rPr>
        <w:fldChar w:fldCharType="end"/>
      </w:r>
      <w:r w:rsidRPr="009D3A24">
        <w:rPr>
          <w:b w:val="0"/>
          <w:bCs/>
        </w:rPr>
        <w:t xml:space="preserve">. The </w:t>
      </w:r>
      <w:r w:rsidR="00C86772" w:rsidRPr="00012DE3">
        <w:rPr>
          <w:b w:val="0"/>
          <w:bCs/>
          <w:i/>
          <w:iCs/>
        </w:rPr>
        <w:t>softmax</w:t>
      </w:r>
      <w:r w:rsidR="00C86772" w:rsidRPr="009D3A24">
        <w:rPr>
          <w:b w:val="0"/>
          <w:bCs/>
        </w:rPr>
        <w:t xml:space="preserve"> </w:t>
      </w:r>
      <w:r w:rsidRPr="009D3A24">
        <w:rPr>
          <w:b w:val="0"/>
          <w:bCs/>
        </w:rPr>
        <w:t xml:space="preserve">classifier is trained for </w:t>
      </w:r>
      <m:oMath>
        <m:sSub>
          <m:sSubPr>
            <m:ctrlPr>
              <w:rPr>
                <w:rFonts w:ascii="Cambria Math" w:hAnsi="Cambria Math"/>
                <w:b w:val="0"/>
                <w:bCs/>
                <w:i/>
              </w:rPr>
            </m:ctrlPr>
          </m:sSubPr>
          <m:e>
            <m:r>
              <w:rPr>
                <w:rFonts w:ascii="Cambria Math" w:hAnsi="Cambria Math"/>
              </w:rPr>
              <m:t>K</m:t>
            </m:r>
          </m:e>
          <m:sub>
            <m:r>
              <w:rPr>
                <w:rFonts w:ascii="Cambria Math" w:hAnsi="Cambria Math"/>
              </w:rPr>
              <m:t>c</m:t>
            </m:r>
          </m:sub>
        </m:sSub>
      </m:oMath>
      <w:r w:rsidRPr="009D3A24">
        <w:rPr>
          <w:b w:val="0"/>
          <w:bCs/>
        </w:rPr>
        <w:t xml:space="preserve"> number of epochs.</w:t>
      </w:r>
      <w:r w:rsidR="00EB02B4">
        <w:rPr>
          <w:b w:val="0"/>
          <w:bCs/>
        </w:rPr>
        <w:t xml:space="preserve"> </w:t>
      </w:r>
      <w:r w:rsidRPr="009D3A24">
        <w:rPr>
          <w:b w:val="0"/>
          <w:bCs/>
        </w:rPr>
        <w:t xml:space="preserve">The final network gives the estimation of the propensity score </w:t>
      </w:r>
      <m:oMath>
        <m:r>
          <m:rPr>
            <m:sty m:val="p"/>
          </m:rPr>
          <w:rPr>
            <w:rFonts w:ascii="Cambria Math" w:hAnsi="Cambria Math"/>
          </w:rPr>
          <m:t>π</m:t>
        </m:r>
        <m:d>
          <m:dPr>
            <m:ctrlPr>
              <w:rPr>
                <w:rFonts w:ascii="Cambria Math" w:hAnsi="Cambria Math"/>
                <w:b w:val="0"/>
                <w:bCs/>
                <w:i/>
              </w:rPr>
            </m:ctrlPr>
          </m:dPr>
          <m:e>
            <m:r>
              <w:rPr>
                <w:rFonts w:ascii="Cambria Math" w:hAnsi="Cambria Math"/>
              </w:rPr>
              <m:t>x</m:t>
            </m:r>
          </m:e>
        </m:d>
      </m:oMath>
      <w:r w:rsidRPr="009D3A24">
        <w:rPr>
          <w:b w:val="0"/>
          <w:bCs/>
        </w:rPr>
        <w:t>.</w:t>
      </w:r>
      <w:r w:rsidR="002C1FDF">
        <w:rPr>
          <w:b w:val="0"/>
          <w:bCs/>
        </w:rPr>
        <w:t xml:space="preserve"> Algorithm</w:t>
      </w:r>
      <w:bookmarkStart w:id="4" w:name="Algo1"/>
      <w:bookmarkEnd w:id="4"/>
      <w:r w:rsidR="00962EAD">
        <w:rPr>
          <w:b w:val="0"/>
          <w:bCs/>
        </w:rPr>
        <w:t xml:space="preserve"> </w:t>
      </w:r>
      <w:r w:rsidR="00EB02B4">
        <w:rPr>
          <w:b w:val="0"/>
          <w:bCs/>
        </w:rPr>
        <w:fldChar w:fldCharType="begin"/>
      </w:r>
      <w:r w:rsidR="00EB02B4">
        <w:rPr>
          <w:b w:val="0"/>
          <w:bCs/>
        </w:rPr>
        <w:instrText xml:space="preserve"> REF Algorithm1 \h </w:instrText>
      </w:r>
      <w:r w:rsidR="00EB02B4">
        <w:rPr>
          <w:b w:val="0"/>
          <w:bCs/>
        </w:rPr>
      </w:r>
      <w:r w:rsidR="00EB02B4">
        <w:rPr>
          <w:b w:val="0"/>
          <w:bCs/>
        </w:rPr>
        <w:fldChar w:fldCharType="separate"/>
      </w:r>
      <w:r w:rsidR="00EB02B4">
        <w:rPr>
          <w:b w:val="0"/>
          <w:bCs/>
        </w:rPr>
        <w:t>1</w:t>
      </w:r>
      <w:r w:rsidR="00EB02B4">
        <w:rPr>
          <w:b w:val="0"/>
          <w:bCs/>
        </w:rPr>
        <w:fldChar w:fldCharType="end"/>
      </w:r>
      <w:r w:rsidR="00997406">
        <w:rPr>
          <w:b w:val="0"/>
          <w:bCs/>
        </w:rPr>
        <w:t xml:space="preserve"> </w:t>
      </w:r>
      <w:r w:rsidRPr="009D3A24">
        <w:rPr>
          <w:b w:val="0"/>
          <w:bCs/>
        </w:rPr>
        <w:t>describes the two-phase procedures to obtain the final DPN-SA.</w:t>
      </w:r>
    </w:p>
    <w:p w14:paraId="1CFF3D3B" w14:textId="6D005FA8" w:rsidR="00C83BB7" w:rsidRDefault="00BB334D" w:rsidP="00EF3D77">
      <w:pPr>
        <w:pStyle w:val="AMIAHeading"/>
        <w:spacing w:line="480" w:lineRule="auto"/>
      </w:pPr>
      <w:r>
        <w:t>2.</w:t>
      </w:r>
      <w:r w:rsidR="00EF3D77">
        <w:t>4</w:t>
      </w:r>
      <w:r>
        <w:t xml:space="preserve"> </w:t>
      </w:r>
      <w:r w:rsidR="00EF3D77" w:rsidRPr="00EF3D77">
        <w:t>Experimental Setup</w:t>
      </w:r>
    </w:p>
    <w:p w14:paraId="42628EAA" w14:textId="7E45A25F" w:rsidR="00804B9C" w:rsidRPr="002047A6" w:rsidRDefault="009E47A8" w:rsidP="00EF3D77">
      <w:pPr>
        <w:pStyle w:val="AMIAHeading"/>
        <w:spacing w:line="480" w:lineRule="auto"/>
        <w:rPr>
          <w:b w:val="0"/>
          <w:bCs/>
        </w:rPr>
      </w:pPr>
      <w:r w:rsidRPr="009E47A8">
        <w:t>Datasets</w:t>
      </w:r>
      <w:r w:rsidRPr="009E47A8">
        <w:t>.</w:t>
      </w:r>
      <w:r>
        <w:rPr>
          <w:b w:val="0"/>
          <w:bCs/>
        </w:rPr>
        <w:t xml:space="preserve"> </w:t>
      </w:r>
      <w:r w:rsidR="00804B9C" w:rsidRPr="002047A6">
        <w:rPr>
          <w:b w:val="0"/>
          <w:bCs/>
        </w:rPr>
        <w:t xml:space="preserve">We used the Infant Health and Development Program (IHDP) dataset, a multi-site, longitudinal, RCT designed to evaluate the efficacy of comprehensive early intervention in enhancing the outcomes of low birth weight, prematurely born infants in the United States. The original IHDP dataset was resampled by throwing away a nonrandom subset of the treatment group (based on the ethnicity variable), thus inducing treatment imbalance, and </w:t>
      </w:r>
      <w:r w:rsidR="00804B9C" w:rsidRPr="002047A6">
        <w:rPr>
          <w:b w:val="0"/>
          <w:bCs/>
        </w:rPr>
        <w:lastRenderedPageBreak/>
        <w:t>then counterfactual outcomes were simulated using either a linear or nonlinear/nonparallel surface, thus knowing the true ITE/ATE</w:t>
      </w:r>
      <w:r w:rsidR="008F7EFD">
        <w:rPr>
          <w:b w:val="0"/>
          <w:bCs/>
        </w:rPr>
        <w:t>.</w:t>
      </w:r>
      <w:r w:rsidR="008F7EFD">
        <w:rPr>
          <w:b w:val="0"/>
          <w:bCs/>
        </w:rPr>
        <w:fldChar w:fldCharType="begin" w:fldLock="1"/>
      </w:r>
      <w:r w:rsidR="003502D5">
        <w:rPr>
          <w:b w:val="0"/>
          <w:bCs/>
        </w:rPr>
        <w:instrText>ADDIN CSL_CITATION {"citationItems":[{"id":"ITEM-1","itemData":{"DOI":"10.1198/jcgs.2010.08162","ISSN":"10618600","abstract":"Researchers have long struggled to identify causal effects in nonexperimental settings. Many recently proposed strategies assume ignorability of the treatment assignment mechanism and require fitting two models-one for the assignment mechanism and one for the response surface. This article proposes a strategy that instead focuses on very flexibly modeling just the response surface using a Bayesian nonparametric modeling procedure, Bayesian Additive Regression Trees (BART). BART has several advantages: it is far simpler to use than many recent competitors, requires less guesswork in model fitting, handles a large number of predictors, yields coherent uncertainty intervals, and fluidly handles continuous treatment variables and missing data for the outcome variable. BART also naturally identifies heterogeneous treatment effects. BART produces more accurate estimates of average treatment effects compared to propensity score matching, propensity-weighted estimators, and regression adjustment in the nonlinear simulation situations examined. Further, it is highly competitive in linear settings with the \"correct\" model, linear regression. Supplemental materials including code and data to replicate simulations and examples from the article as well as methods for population inference are available online. Copyright © 2011 American Statistical Association.","author":[{"dropping-particle":"","family":"Hill","given":"Jennifer L.","non-dropping-particle":"","parse-names":false,"suffix":""}],"container-title":"Journal of Computational and Graphical Statistics","id":"ITEM-1","issued":{"date-parts":[["2011"]]},"title":"Bayesian nonparametric modeling for causal inference","type":"article-journal"},"uris":["http://www.mendeley.com/documents/?uuid=b49f7082-c9ce-48c4-ac8e-248ab07fa217"]}],"mendeley":{"formattedCitation":"[39]","plainTextFormattedCitation":"[39]","previouslyFormattedCitation":"[39]"},"properties":{"noteIndex":0},"schema":"https://github.com/citation-style-language/schema/raw/master/csl-citation.json"}</w:instrText>
      </w:r>
      <w:r w:rsidR="008F7EFD">
        <w:rPr>
          <w:b w:val="0"/>
          <w:bCs/>
        </w:rPr>
        <w:fldChar w:fldCharType="separate"/>
      </w:r>
      <w:r w:rsidR="008F7EFD" w:rsidRPr="008F7EFD">
        <w:rPr>
          <w:b w:val="0"/>
          <w:bCs/>
          <w:noProof/>
        </w:rPr>
        <w:t>[39]</w:t>
      </w:r>
      <w:r w:rsidR="008F7EFD">
        <w:rPr>
          <w:b w:val="0"/>
          <w:bCs/>
        </w:rPr>
        <w:fldChar w:fldCharType="end"/>
      </w:r>
      <w:r w:rsidR="00804B9C" w:rsidRPr="002047A6">
        <w:rPr>
          <w:b w:val="0"/>
          <w:bCs/>
        </w:rPr>
        <w:t xml:space="preserve"> The nonlinear surface dataset, which we chose as benchmark for this study, consisted of 747 subjects (139 in the treatment group and 608 controls), with 25 associated covariates, describing characteristics of the infants and their mothers (excluding the ethnicity).</w:t>
      </w:r>
      <w:r w:rsidR="00C325B8">
        <w:rPr>
          <w:b w:val="0"/>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8878"/>
      </w:tblGrid>
      <w:tr w:rsidR="00EB02B4" w:rsidRPr="00B60BCE" w14:paraId="6BC2A6BE" w14:textId="77777777" w:rsidTr="00615BBD">
        <w:tc>
          <w:tcPr>
            <w:tcW w:w="472" w:type="dxa"/>
          </w:tcPr>
          <w:p w14:paraId="49C31A20" w14:textId="77777777" w:rsidR="00EB02B4" w:rsidRPr="00B60BCE" w:rsidRDefault="00EB02B4" w:rsidP="00E84CF5">
            <w:pPr>
              <w:rPr>
                <w:sz w:val="20"/>
                <w:szCs w:val="20"/>
              </w:rPr>
            </w:pPr>
          </w:p>
        </w:tc>
        <w:tc>
          <w:tcPr>
            <w:tcW w:w="8878" w:type="dxa"/>
            <w:tcBorders>
              <w:top w:val="single" w:sz="4" w:space="0" w:color="auto"/>
              <w:bottom w:val="single" w:sz="4" w:space="0" w:color="auto"/>
            </w:tcBorders>
          </w:tcPr>
          <w:p w14:paraId="5CCE2733" w14:textId="77777777" w:rsidR="00EB02B4" w:rsidRPr="00B60BCE" w:rsidRDefault="00EB02B4" w:rsidP="00E84CF5">
            <w:pPr>
              <w:rPr>
                <w:b/>
                <w:bCs/>
                <w:sz w:val="20"/>
                <w:szCs w:val="20"/>
              </w:rPr>
            </w:pPr>
            <w:r w:rsidRPr="00B60BCE">
              <w:rPr>
                <w:b/>
                <w:bCs/>
                <w:sz w:val="20"/>
                <w:szCs w:val="20"/>
              </w:rPr>
              <w:t xml:space="preserve">Algorithm </w:t>
            </w:r>
            <w:bookmarkStart w:id="5" w:name="Algorithm1"/>
            <w:r w:rsidRPr="00B60BCE">
              <w:rPr>
                <w:b/>
                <w:bCs/>
                <w:sz w:val="20"/>
                <w:szCs w:val="20"/>
              </w:rPr>
              <w:t>1</w:t>
            </w:r>
            <w:bookmarkEnd w:id="5"/>
            <w:r w:rsidRPr="00B60BCE">
              <w:rPr>
                <w:b/>
                <w:bCs/>
                <w:sz w:val="20"/>
                <w:szCs w:val="20"/>
              </w:rPr>
              <w:t xml:space="preserve"> </w:t>
            </w:r>
            <w:r w:rsidRPr="00B60BCE">
              <w:rPr>
                <w:sz w:val="20"/>
                <w:szCs w:val="20"/>
              </w:rPr>
              <w:t>Training DPN-SA</w:t>
            </w:r>
          </w:p>
        </w:tc>
      </w:tr>
      <w:tr w:rsidR="00EB02B4" w:rsidRPr="00B60BCE" w14:paraId="1259E337" w14:textId="77777777" w:rsidTr="00615BBD">
        <w:tc>
          <w:tcPr>
            <w:tcW w:w="472" w:type="dxa"/>
          </w:tcPr>
          <w:p w14:paraId="2583B159" w14:textId="77777777" w:rsidR="00EB02B4" w:rsidRPr="00B60BCE" w:rsidRDefault="00EB02B4" w:rsidP="00E84CF5">
            <w:pPr>
              <w:rPr>
                <w:sz w:val="20"/>
                <w:szCs w:val="20"/>
              </w:rPr>
            </w:pPr>
          </w:p>
        </w:tc>
        <w:tc>
          <w:tcPr>
            <w:tcW w:w="8878" w:type="dxa"/>
            <w:tcBorders>
              <w:top w:val="single" w:sz="4" w:space="0" w:color="auto"/>
            </w:tcBorders>
          </w:tcPr>
          <w:p w14:paraId="48377394" w14:textId="3EF71BD0" w:rsidR="00EB02B4" w:rsidRPr="00B60BCE" w:rsidRDefault="00213452" w:rsidP="00E84CF5">
            <w:pPr>
              <w:rPr>
                <w:b/>
                <w:bCs/>
                <w:sz w:val="20"/>
                <w:szCs w:val="20"/>
              </w:rPr>
            </w:pPr>
            <w:r w:rsidRPr="00B60BCE">
              <w:rPr>
                <w:b/>
                <w:bCs/>
                <w:sz w:val="20"/>
                <w:szCs w:val="20"/>
              </w:rPr>
              <w:t>Input:</w:t>
            </w:r>
            <w:r w:rsidRPr="00B60BCE">
              <w:rPr>
                <w:sz w:val="20"/>
                <w:szCs w:val="20"/>
              </w:rPr>
              <w:t xml:space="preserve"> Batch </w:t>
            </w:r>
            <w:r w:rsidR="004F5C9C" w:rsidRPr="00B60BCE">
              <w:rPr>
                <w:i/>
                <w:iCs/>
                <w:sz w:val="20"/>
                <w:szCs w:val="20"/>
              </w:rPr>
              <w:t>B</w:t>
            </w:r>
            <w:r w:rsidRPr="00B60BCE">
              <w:rPr>
                <w:sz w:val="20"/>
                <w:szCs w:val="20"/>
              </w:rPr>
              <w:t xml:space="preserve"> of random samples with assigned treatment </w:t>
            </w:r>
            <w:r w:rsidR="00E17019" w:rsidRPr="00B60BCE">
              <w:rPr>
                <w:sz w:val="20"/>
                <w:szCs w:val="20"/>
              </w:rPr>
              <w:t>T</w:t>
            </w:r>
            <w:r w:rsidRPr="00B60BCE">
              <w:rPr>
                <w:sz w:val="20"/>
                <w:szCs w:val="20"/>
              </w:rPr>
              <w:t xml:space="preserve"> training set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train</m:t>
                  </m:r>
                </m:sub>
              </m:sSub>
            </m:oMath>
            <w:r w:rsidRPr="00B60BCE">
              <w:rPr>
                <w:sz w:val="20"/>
                <w:szCs w:val="20"/>
              </w:rPr>
              <w:t xml:space="preserve">, number of epochs </w:t>
            </w:r>
            <m:oMath>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c</m:t>
                  </m:r>
                </m:sub>
              </m:sSub>
            </m:oMath>
            <w:r w:rsidRPr="00B60BCE">
              <w:rPr>
                <w:sz w:val="20"/>
                <w:szCs w:val="20"/>
              </w:rPr>
              <w:t xml:space="preserve">, learning rates </w:t>
            </w:r>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SA</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c</m:t>
                  </m:r>
                </m:sub>
              </m:sSub>
            </m:oMath>
            <w:r w:rsidRPr="00B60BCE">
              <w:rPr>
                <w:sz w:val="20"/>
                <w:szCs w:val="20"/>
              </w:rPr>
              <w:t xml:space="preserve"> for the sparse autoencoder (SA) and the </w:t>
            </w:r>
            <w:r w:rsidRPr="00B60BCE">
              <w:rPr>
                <w:i/>
                <w:iCs/>
                <w:sz w:val="20"/>
                <w:szCs w:val="20"/>
              </w:rPr>
              <w:t>softmax</w:t>
            </w:r>
            <w:r w:rsidR="008B4110" w:rsidRPr="00B60BCE">
              <w:rPr>
                <w:sz w:val="20"/>
                <w:szCs w:val="20"/>
              </w:rPr>
              <w:t xml:space="preserve"> </w:t>
            </w:r>
            <w:r w:rsidRPr="00B60BCE">
              <w:rPr>
                <w:sz w:val="20"/>
                <w:szCs w:val="20"/>
              </w:rPr>
              <w:t>classifier, respectively.</w:t>
            </w:r>
          </w:p>
        </w:tc>
      </w:tr>
      <w:tr w:rsidR="00EB02B4" w:rsidRPr="00B60BCE" w14:paraId="74128463" w14:textId="77777777" w:rsidTr="00615BBD">
        <w:tc>
          <w:tcPr>
            <w:tcW w:w="472" w:type="dxa"/>
          </w:tcPr>
          <w:p w14:paraId="1D6E5E6B" w14:textId="77777777" w:rsidR="00EB02B4" w:rsidRPr="00B60BCE" w:rsidRDefault="00EB02B4" w:rsidP="00E84CF5">
            <w:pPr>
              <w:rPr>
                <w:sz w:val="20"/>
                <w:szCs w:val="20"/>
              </w:rPr>
            </w:pPr>
          </w:p>
        </w:tc>
        <w:tc>
          <w:tcPr>
            <w:tcW w:w="8878" w:type="dxa"/>
          </w:tcPr>
          <w:p w14:paraId="2E28F382" w14:textId="6F6C2092" w:rsidR="00EB02B4" w:rsidRPr="00B60BCE" w:rsidRDefault="00B60BCE" w:rsidP="00E84CF5">
            <w:pPr>
              <w:rPr>
                <w:b/>
                <w:bCs/>
                <w:sz w:val="20"/>
                <w:szCs w:val="20"/>
              </w:rPr>
            </w:pPr>
            <w:r w:rsidRPr="00B60BCE">
              <w:rPr>
                <w:b/>
                <w:bCs/>
                <w:sz w:val="20"/>
                <w:szCs w:val="20"/>
              </w:rPr>
              <w:t>Output</w:t>
            </w:r>
            <w:r w:rsidR="00C9041D">
              <w:rPr>
                <w:b/>
                <w:bCs/>
                <w:sz w:val="20"/>
                <w:szCs w:val="20"/>
              </w:rPr>
              <w:t xml:space="preserve">: </w:t>
            </w: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out</m:t>
                  </m:r>
                </m:sub>
              </m:sSub>
            </m:oMath>
            <w:r w:rsidR="00C9041D" w:rsidRPr="00C9041D">
              <w:rPr>
                <w:sz w:val="20"/>
                <w:szCs w:val="20"/>
              </w:rPr>
              <w:t xml:space="preserve"> consisting of propensity score for each sample</w:t>
            </w:r>
            <w:r w:rsidR="00C9041D">
              <w:rPr>
                <w:sz w:val="20"/>
                <w:szCs w:val="20"/>
              </w:rPr>
              <w:t xml:space="preserve"> </w:t>
            </w:r>
            <w:r w:rsidR="00C9041D">
              <w:rPr>
                <w:i/>
                <w:iCs/>
                <w:sz w:val="20"/>
                <w:szCs w:val="20"/>
              </w:rPr>
              <w:t>i</w:t>
            </w:r>
            <w:r w:rsidR="00C9041D">
              <w:rPr>
                <w:sz w:val="20"/>
                <w:szCs w:val="20"/>
              </w:rPr>
              <w:t>,</w:t>
            </w:r>
            <w:r w:rsidR="00C9041D" w:rsidRPr="00C9041D">
              <w:rPr>
                <w:sz w:val="20"/>
                <w:szCs w:val="20"/>
              </w:rPr>
              <w:t xml:space="preserve"> where </w:t>
            </w:r>
            <w:r w:rsidR="00C9041D" w:rsidRPr="003C1299">
              <w:rPr>
                <w:i/>
                <w:iCs/>
                <w:sz w:val="20"/>
                <w:szCs w:val="20"/>
              </w:rPr>
              <w:t>i</w:t>
            </w:r>
            <w:r w:rsidR="00C9041D" w:rsidRPr="00C9041D">
              <w:rPr>
                <w:sz w:val="20"/>
                <w:szCs w:val="20"/>
              </w:rPr>
              <w:t xml:space="preserve"> ranges from </w:t>
            </w:r>
            <m:oMath>
              <m:r>
                <w:rPr>
                  <w:rFonts w:ascii="Cambria Math" w:hAnsi="Cambria Math"/>
                  <w:sz w:val="20"/>
                  <w:szCs w:val="20"/>
                </w:rPr>
                <m:t>1</m:t>
              </m:r>
            </m:oMath>
            <w:r w:rsidR="00C9041D" w:rsidRPr="00C9041D">
              <w:rPr>
                <w:sz w:val="20"/>
                <w:szCs w:val="20"/>
              </w:rPr>
              <w:t xml:space="preserve"> to </w:t>
            </w:r>
            <w:r w:rsidR="00197EAD">
              <w:rPr>
                <w:i/>
                <w:iCs/>
                <w:sz w:val="20"/>
                <w:szCs w:val="20"/>
              </w:rPr>
              <w:t>N</w:t>
            </w:r>
            <w:r w:rsidR="00197EAD">
              <w:rPr>
                <w:sz w:val="20"/>
                <w:szCs w:val="20"/>
              </w:rPr>
              <w:t>.</w:t>
            </w:r>
          </w:p>
        </w:tc>
      </w:tr>
      <w:tr w:rsidR="00EB02B4" w:rsidRPr="00B60BCE" w14:paraId="004D4F9B" w14:textId="77777777" w:rsidTr="00615BBD">
        <w:tc>
          <w:tcPr>
            <w:tcW w:w="472" w:type="dxa"/>
          </w:tcPr>
          <w:p w14:paraId="056DB2B8" w14:textId="1C94DFAA" w:rsidR="00EB02B4" w:rsidRPr="00B60BCE" w:rsidRDefault="00752A92" w:rsidP="00E84CF5">
            <w:pPr>
              <w:rPr>
                <w:sz w:val="20"/>
                <w:szCs w:val="20"/>
              </w:rPr>
            </w:pPr>
            <w:r>
              <w:rPr>
                <w:sz w:val="20"/>
                <w:szCs w:val="20"/>
              </w:rPr>
              <w:t>1:</w:t>
            </w:r>
          </w:p>
        </w:tc>
        <w:tc>
          <w:tcPr>
            <w:tcW w:w="8878" w:type="dxa"/>
          </w:tcPr>
          <w:p w14:paraId="5C6DEDEC" w14:textId="5AD7248D" w:rsidR="00EB02B4" w:rsidRPr="00A90170" w:rsidRDefault="009D5F2D" w:rsidP="00E84CF5">
            <w:pPr>
              <w:rPr>
                <w:b/>
                <w:bCs/>
                <w:sz w:val="20"/>
                <w:szCs w:val="20"/>
              </w:rPr>
            </w:pPr>
            <w:r>
              <w:rPr>
                <w:b/>
                <w:bCs/>
                <w:sz w:val="20"/>
                <w:szCs w:val="20"/>
              </w:rPr>
              <w:t>P</w:t>
            </w:r>
            <w:r w:rsidR="00A90170" w:rsidRPr="00A90170">
              <w:rPr>
                <w:b/>
                <w:bCs/>
                <w:sz w:val="20"/>
                <w:szCs w:val="20"/>
              </w:rPr>
              <w:t>rocedure</w:t>
            </w:r>
            <w:r>
              <w:rPr>
                <w:b/>
                <w:bCs/>
                <w:sz w:val="20"/>
                <w:szCs w:val="20"/>
              </w:rPr>
              <w:t xml:space="preserve"> </w:t>
            </w:r>
            <w:r w:rsidRPr="00717D1D">
              <w:rPr>
                <w:sz w:val="20"/>
                <w:szCs w:val="20"/>
              </w:rPr>
              <w:t>DPN-SA training</w:t>
            </w:r>
          </w:p>
        </w:tc>
      </w:tr>
      <w:tr w:rsidR="00EB02B4" w:rsidRPr="00B60BCE" w14:paraId="60EBA238" w14:textId="77777777" w:rsidTr="00615BBD">
        <w:tc>
          <w:tcPr>
            <w:tcW w:w="472" w:type="dxa"/>
          </w:tcPr>
          <w:p w14:paraId="30F38AC2" w14:textId="5F83E44F" w:rsidR="00EB02B4" w:rsidRPr="00B60BCE" w:rsidRDefault="00752A92" w:rsidP="00E84CF5">
            <w:pPr>
              <w:rPr>
                <w:sz w:val="20"/>
                <w:szCs w:val="20"/>
              </w:rPr>
            </w:pPr>
            <w:r>
              <w:rPr>
                <w:sz w:val="20"/>
                <w:szCs w:val="20"/>
              </w:rPr>
              <w:t>2:</w:t>
            </w:r>
          </w:p>
        </w:tc>
        <w:tc>
          <w:tcPr>
            <w:tcW w:w="8878" w:type="dxa"/>
          </w:tcPr>
          <w:p w14:paraId="0A1EF6B8" w14:textId="56B81018" w:rsidR="00EB02B4" w:rsidRPr="00B60BCE" w:rsidRDefault="001A47DB" w:rsidP="00E84CF5">
            <w:pPr>
              <w:rPr>
                <w:sz w:val="20"/>
                <w:szCs w:val="20"/>
              </w:rPr>
            </w:pPr>
            <w:r>
              <w:rPr>
                <w:sz w:val="20"/>
                <w:szCs w:val="20"/>
              </w:rPr>
              <w:t xml:space="preserve">       </w:t>
            </w:r>
            <w:r w:rsidR="006B27B8" w:rsidRPr="006B27B8">
              <w:rPr>
                <w:sz w:val="20"/>
                <w:szCs w:val="20"/>
              </w:rPr>
              <w:t xml:space="preserve">Initialize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d>
                    <m:dPr>
                      <m:ctrlPr>
                        <w:rPr>
                          <w:rFonts w:ascii="Cambria Math" w:eastAsiaTheme="minorEastAsia" w:hAnsi="Cambria Math"/>
                          <w:i/>
                          <w:sz w:val="20"/>
                          <w:szCs w:val="20"/>
                        </w:rPr>
                      </m:ctrlPr>
                    </m:dPr>
                    <m:e>
                      <m:r>
                        <w:rPr>
                          <w:rFonts w:ascii="Cambria Math" w:eastAsiaTheme="minorEastAsia" w:hAnsi="Cambria Math"/>
                          <w:sz w:val="20"/>
                          <w:szCs w:val="20"/>
                        </w:rPr>
                        <m:t>l</m:t>
                      </m:r>
                    </m:e>
                  </m:d>
                </m:sup>
              </m:sSup>
              <m:r>
                <w:rPr>
                  <w:rFonts w:ascii="Cambria Math" w:hAnsi="Cambria Math"/>
                  <w:sz w:val="20"/>
                  <w:szCs w:val="20"/>
                </w:rPr>
                <m:t>,</m:t>
              </m:r>
            </m:oMath>
            <w:r w:rsidR="006B27B8" w:rsidRPr="006B27B8">
              <w:rPr>
                <w:sz w:val="20"/>
                <w:szCs w:val="20"/>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d>
                    <m:dPr>
                      <m:ctrlPr>
                        <w:rPr>
                          <w:rFonts w:ascii="Cambria Math" w:eastAsiaTheme="minorEastAsia" w:hAnsi="Cambria Math"/>
                          <w:i/>
                          <w:sz w:val="20"/>
                          <w:szCs w:val="20"/>
                        </w:rPr>
                      </m:ctrlPr>
                    </m:dPr>
                    <m:e>
                      <m:r>
                        <w:rPr>
                          <w:rFonts w:ascii="Cambria Math" w:eastAsiaTheme="minorEastAsia" w:hAnsi="Cambria Math"/>
                          <w:sz w:val="20"/>
                          <w:szCs w:val="20"/>
                        </w:rPr>
                        <m:t>l</m:t>
                      </m:r>
                    </m:e>
                  </m:d>
                </m:sup>
              </m:sSup>
              <m:r>
                <w:rPr>
                  <w:rFonts w:ascii="Cambria Math" w:eastAsiaTheme="minorEastAsia" w:hAnsi="Cambria Math"/>
                  <w:sz w:val="20"/>
                  <w:szCs w:val="20"/>
                </w:rPr>
                <m:t xml:space="preserve"> </m:t>
              </m:r>
            </m:oMath>
            <w:r w:rsidR="006B27B8" w:rsidRPr="006B27B8">
              <w:rPr>
                <w:sz w:val="20"/>
                <w:szCs w:val="20"/>
              </w:rPr>
              <w:t>of the SA.</w:t>
            </w:r>
          </w:p>
        </w:tc>
      </w:tr>
      <w:tr w:rsidR="00EB02B4" w:rsidRPr="00B60BCE" w14:paraId="3E64BB86" w14:textId="77777777" w:rsidTr="00615BBD">
        <w:tc>
          <w:tcPr>
            <w:tcW w:w="472" w:type="dxa"/>
          </w:tcPr>
          <w:p w14:paraId="4ABB3315" w14:textId="1993D75B" w:rsidR="00EB02B4" w:rsidRPr="00B60BCE" w:rsidRDefault="00752A92" w:rsidP="00E84CF5">
            <w:pPr>
              <w:rPr>
                <w:sz w:val="20"/>
                <w:szCs w:val="20"/>
              </w:rPr>
            </w:pPr>
            <w:r>
              <w:rPr>
                <w:sz w:val="20"/>
                <w:szCs w:val="20"/>
              </w:rPr>
              <w:t>3:</w:t>
            </w:r>
          </w:p>
        </w:tc>
        <w:tc>
          <w:tcPr>
            <w:tcW w:w="8878" w:type="dxa"/>
          </w:tcPr>
          <w:p w14:paraId="0AA38652" w14:textId="6CC8BEE1" w:rsidR="00EB02B4" w:rsidRPr="001A47DB" w:rsidRDefault="001A47DB" w:rsidP="00E84CF5">
            <w:pPr>
              <w:rPr>
                <w:sz w:val="20"/>
                <w:szCs w:val="20"/>
              </w:rPr>
            </w:pPr>
            <w:r>
              <w:rPr>
                <w:sz w:val="20"/>
                <w:szCs w:val="20"/>
              </w:rPr>
              <w:t xml:space="preserve">       </w:t>
            </w:r>
            <w:r w:rsidR="00F17177" w:rsidRPr="001A47DB">
              <w:rPr>
                <w:b/>
                <w:bCs/>
                <w:sz w:val="20"/>
                <w:szCs w:val="20"/>
              </w:rPr>
              <w:t>for</w:t>
            </w:r>
            <w:r w:rsidR="00F17177" w:rsidRPr="001A47DB">
              <w:rPr>
                <w:sz w:val="20"/>
                <w:szCs w:val="20"/>
              </w:rPr>
              <w:t xml:space="preserve"> epochs = 1, 2, . . .</w:t>
            </w:r>
            <w:r w:rsidR="00F17177" w:rsidRPr="001A47DB">
              <w:rPr>
                <w:i/>
                <w:iCs/>
                <w:sz w:val="20"/>
                <w:szCs w:val="20"/>
              </w:rPr>
              <w:t xml:space="preserve"> </w:t>
            </w:r>
            <m:oMath>
              <m:sSub>
                <m:sSubPr>
                  <m:ctrlPr>
                    <w:rPr>
                      <w:rFonts w:ascii="Cambria Math" w:hAnsi="Cambria Math"/>
                      <w:i/>
                      <w:iCs/>
                      <w:sz w:val="20"/>
                      <w:szCs w:val="20"/>
                    </w:rPr>
                  </m:ctrlPr>
                </m:sSubPr>
                <m:e>
                  <m:r>
                    <w:rPr>
                      <w:rFonts w:ascii="Cambria Math" w:hAnsi="Cambria Math"/>
                      <w:sz w:val="20"/>
                      <w:szCs w:val="20"/>
                    </w:rPr>
                    <m:t>K</m:t>
                  </m:r>
                </m:e>
                <m:sub>
                  <m:r>
                    <w:rPr>
                      <w:rFonts w:ascii="Cambria Math" w:hAnsi="Cambria Math"/>
                      <w:sz w:val="20"/>
                      <w:szCs w:val="20"/>
                    </w:rPr>
                    <m:t>s</m:t>
                  </m:r>
                </m:sub>
              </m:sSub>
            </m:oMath>
            <w:r w:rsidR="00F17177" w:rsidRPr="001A47DB">
              <w:rPr>
                <w:sz w:val="20"/>
                <w:szCs w:val="20"/>
              </w:rPr>
              <w:t xml:space="preserve"> </w:t>
            </w:r>
            <w:r w:rsidR="00F17177" w:rsidRPr="001A47DB">
              <w:rPr>
                <w:b/>
                <w:bCs/>
                <w:sz w:val="20"/>
                <w:szCs w:val="20"/>
              </w:rPr>
              <w:t>do</w:t>
            </w:r>
          </w:p>
        </w:tc>
      </w:tr>
      <w:tr w:rsidR="00EB02B4" w:rsidRPr="00B60BCE" w14:paraId="58ADAFED" w14:textId="77777777" w:rsidTr="00615BBD">
        <w:tc>
          <w:tcPr>
            <w:tcW w:w="472" w:type="dxa"/>
          </w:tcPr>
          <w:p w14:paraId="397AE550" w14:textId="02508EE8" w:rsidR="00EB02B4" w:rsidRPr="00B60BCE" w:rsidRDefault="00752A92" w:rsidP="00E84CF5">
            <w:pPr>
              <w:rPr>
                <w:sz w:val="20"/>
                <w:szCs w:val="20"/>
              </w:rPr>
            </w:pPr>
            <w:r>
              <w:rPr>
                <w:sz w:val="20"/>
                <w:szCs w:val="20"/>
              </w:rPr>
              <w:t>4:</w:t>
            </w:r>
          </w:p>
        </w:tc>
        <w:tc>
          <w:tcPr>
            <w:tcW w:w="8878" w:type="dxa"/>
          </w:tcPr>
          <w:p w14:paraId="3ABBFB8A" w14:textId="327121D5" w:rsidR="00EB02B4" w:rsidRPr="005A0C8A" w:rsidRDefault="005A0C8A" w:rsidP="00E84CF5">
            <w:pPr>
              <w:rPr>
                <w:b/>
                <w:bCs/>
                <w:sz w:val="20"/>
                <w:szCs w:val="20"/>
              </w:rPr>
            </w:pPr>
            <w:r>
              <w:rPr>
                <w:sz w:val="20"/>
                <w:szCs w:val="20"/>
              </w:rPr>
              <w:t xml:space="preserve">              </w:t>
            </w:r>
            <w:r w:rsidR="004C450B" w:rsidRPr="004C450B">
              <w:rPr>
                <w:b/>
                <w:bCs/>
                <w:sz w:val="20"/>
                <w:szCs w:val="20"/>
              </w:rPr>
              <w:t>f</w:t>
            </w:r>
            <w:r w:rsidRPr="005A0C8A">
              <w:rPr>
                <w:b/>
                <w:bCs/>
                <w:sz w:val="20"/>
                <w:szCs w:val="20"/>
              </w:rPr>
              <w:t>or</w:t>
            </w:r>
            <w:r w:rsidR="00E84CF5">
              <w:rPr>
                <w:b/>
                <w:bCs/>
                <w:sz w:val="20"/>
                <w:szCs w:val="20"/>
              </w:rPr>
              <w:t xml:space="preserve"> </w:t>
            </w:r>
            <m:oMath>
              <m:r>
                <w:rPr>
                  <w:rFonts w:ascii="Cambria Math" w:hAnsi="Cambria Math"/>
                  <w:sz w:val="20"/>
                  <w:szCs w:val="20"/>
                </w:rPr>
                <m:t>batches=1,2</m:t>
              </m:r>
              <m:r>
                <w:rPr>
                  <w:rFonts w:ascii="Cambria Math" w:hAnsi="Cambria Math"/>
                  <w:sz w:val="20"/>
                  <w:szCs w:val="20"/>
                </w:rPr>
                <m:t xml:space="preserve">, .. </m:t>
              </m:r>
              <m:r>
                <w:rPr>
                  <w:rFonts w:ascii="Cambria Math" w:hAnsi="Cambria Math"/>
                  <w:sz w:val="20"/>
                  <w:szCs w:val="20"/>
                </w:rPr>
                <m:t>B</m:t>
              </m:r>
              <m:r>
                <w:rPr>
                  <w:rFonts w:ascii="Cambria Math" w:hAnsi="Cambria Math"/>
                  <w:sz w:val="20"/>
                  <w:szCs w:val="20"/>
                </w:rPr>
                <m:t xml:space="preserve"> </m:t>
              </m:r>
            </m:oMath>
            <w:r w:rsidR="00E84CF5" w:rsidRPr="00E84CF5">
              <w:rPr>
                <w:sz w:val="20"/>
                <w:szCs w:val="20"/>
              </w:rPr>
              <w:t xml:space="preserve">in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batch</m:t>
                  </m:r>
                </m:sub>
              </m:sSub>
            </m:oMath>
          </w:p>
        </w:tc>
      </w:tr>
      <w:tr w:rsidR="00EB02B4" w:rsidRPr="00B60BCE" w14:paraId="0DB9E368" w14:textId="77777777" w:rsidTr="00615BBD">
        <w:trPr>
          <w:trHeight w:val="305"/>
        </w:trPr>
        <w:tc>
          <w:tcPr>
            <w:tcW w:w="472" w:type="dxa"/>
          </w:tcPr>
          <w:p w14:paraId="1A430C4A" w14:textId="45AB802F" w:rsidR="00EB02B4" w:rsidRPr="00B60BCE" w:rsidRDefault="00752A92" w:rsidP="00E84CF5">
            <w:pPr>
              <w:rPr>
                <w:sz w:val="20"/>
                <w:szCs w:val="20"/>
              </w:rPr>
            </w:pPr>
            <w:r>
              <w:rPr>
                <w:sz w:val="20"/>
                <w:szCs w:val="20"/>
              </w:rPr>
              <w:t>5:</w:t>
            </w:r>
          </w:p>
        </w:tc>
        <w:tc>
          <w:tcPr>
            <w:tcW w:w="8878" w:type="dxa"/>
          </w:tcPr>
          <w:p w14:paraId="193B29A8" w14:textId="5FF840C8" w:rsidR="00EB02B4" w:rsidRPr="00B60BCE" w:rsidRDefault="000B1CB9" w:rsidP="000B1CB9">
            <w:pPr>
              <w:tabs>
                <w:tab w:val="left" w:pos="922"/>
              </w:tabs>
              <w:rPr>
                <w:sz w:val="20"/>
                <w:szCs w:val="20"/>
              </w:rPr>
            </w:pPr>
            <w:r>
              <w:rPr>
                <w:sz w:val="20"/>
                <w:szCs w:val="20"/>
              </w:rPr>
              <w:tab/>
              <w:t xml:space="preserve">  </w:t>
            </w:r>
            <w:r w:rsidRPr="000B1CB9">
              <w:rPr>
                <w:sz w:val="20"/>
                <w:szCs w:val="20"/>
              </w:rPr>
              <w:t xml:space="preserve">Compute </w:t>
            </w:r>
            <m:oMath>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batch</m:t>
                  </m:r>
                </m:sub>
                <m:sup>
                  <m:r>
                    <w:rPr>
                      <w:rFonts w:ascii="Cambria Math" w:hAnsi="Cambria Math"/>
                      <w:sz w:val="20"/>
                      <w:szCs w:val="20"/>
                    </w:rPr>
                    <m:t>'</m:t>
                  </m:r>
                </m:sup>
              </m:sSubSup>
            </m:oMath>
            <w:r w:rsidRPr="000B1CB9">
              <w:rPr>
                <w:sz w:val="20"/>
                <w:szCs w:val="20"/>
              </w:rPr>
              <w:t xml:space="preserve"> using forward propagation.</w:t>
            </w:r>
          </w:p>
        </w:tc>
      </w:tr>
      <w:tr w:rsidR="00EB02B4" w:rsidRPr="00B60BCE" w14:paraId="4332A80B" w14:textId="77777777" w:rsidTr="00615BBD">
        <w:tc>
          <w:tcPr>
            <w:tcW w:w="472" w:type="dxa"/>
          </w:tcPr>
          <w:p w14:paraId="2F55CA4C" w14:textId="33AEB61B" w:rsidR="00EB02B4" w:rsidRPr="00B60BCE" w:rsidRDefault="00752A92" w:rsidP="00E84CF5">
            <w:pPr>
              <w:rPr>
                <w:sz w:val="20"/>
                <w:szCs w:val="20"/>
              </w:rPr>
            </w:pPr>
            <w:r>
              <w:rPr>
                <w:sz w:val="20"/>
                <w:szCs w:val="20"/>
              </w:rPr>
              <w:t>6:</w:t>
            </w:r>
          </w:p>
        </w:tc>
        <w:tc>
          <w:tcPr>
            <w:tcW w:w="8878" w:type="dxa"/>
          </w:tcPr>
          <w:p w14:paraId="093EA453" w14:textId="4BCAA34B" w:rsidR="00EB02B4" w:rsidRPr="00B60BCE" w:rsidRDefault="004D7360" w:rsidP="00E84CF5">
            <w:pPr>
              <w:rPr>
                <w:sz w:val="20"/>
                <w:szCs w:val="20"/>
              </w:rPr>
            </w:pPr>
            <w:r>
              <w:rPr>
                <w:sz w:val="20"/>
                <w:szCs w:val="20"/>
              </w:rPr>
              <w:t xml:space="preserve">                     </w:t>
            </w:r>
            <w:r w:rsidRPr="004D7360">
              <w:rPr>
                <w:sz w:val="20"/>
                <w:szCs w:val="20"/>
              </w:rPr>
              <w:t xml:space="preserve">Compute </w:t>
            </w:r>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sparse</m:t>
                  </m:r>
                </m:sub>
              </m:sSub>
            </m:oMath>
            <w:r w:rsidR="00A35344">
              <w:rPr>
                <w:sz w:val="20"/>
                <w:szCs w:val="20"/>
              </w:rPr>
              <w:t>.</w:t>
            </w:r>
          </w:p>
        </w:tc>
      </w:tr>
      <w:tr w:rsidR="00EB02B4" w:rsidRPr="00B60BCE" w14:paraId="7D526F91" w14:textId="77777777" w:rsidTr="00615BBD">
        <w:tc>
          <w:tcPr>
            <w:tcW w:w="472" w:type="dxa"/>
          </w:tcPr>
          <w:p w14:paraId="09658810" w14:textId="4D58E2E6" w:rsidR="00EB02B4" w:rsidRPr="00B60BCE" w:rsidRDefault="00752A92" w:rsidP="00E84CF5">
            <w:pPr>
              <w:rPr>
                <w:sz w:val="20"/>
                <w:szCs w:val="20"/>
              </w:rPr>
            </w:pPr>
            <w:r>
              <w:rPr>
                <w:sz w:val="20"/>
                <w:szCs w:val="20"/>
              </w:rPr>
              <w:t>7:</w:t>
            </w:r>
          </w:p>
        </w:tc>
        <w:tc>
          <w:tcPr>
            <w:tcW w:w="8878" w:type="dxa"/>
          </w:tcPr>
          <w:p w14:paraId="17218E07" w14:textId="1273D8DF" w:rsidR="00EB02B4" w:rsidRPr="00B60BCE" w:rsidRDefault="00A35344" w:rsidP="00E84CF5">
            <w:pPr>
              <w:rPr>
                <w:sz w:val="20"/>
                <w:szCs w:val="20"/>
              </w:rPr>
            </w:pPr>
            <w:r>
              <w:rPr>
                <w:sz w:val="20"/>
                <w:szCs w:val="20"/>
              </w:rPr>
              <w:t xml:space="preserve">                     </w:t>
            </w:r>
            <w:r w:rsidRPr="00A35344">
              <w:rPr>
                <w:sz w:val="20"/>
                <w:szCs w:val="20"/>
              </w:rPr>
              <w:t xml:space="preserve">Compute Gradient: </w:t>
            </w:r>
            <m:oMath>
              <m:r>
                <m:rPr>
                  <m:sty m:val="p"/>
                </m:rP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sparse</m:t>
                      </m:r>
                    </m:sub>
                  </m:sSub>
                </m:e>
              </m:d>
            </m:oMath>
          </w:p>
        </w:tc>
      </w:tr>
      <w:tr w:rsidR="00EB02B4" w:rsidRPr="00B60BCE" w14:paraId="22C586B7" w14:textId="77777777" w:rsidTr="00615BBD">
        <w:tc>
          <w:tcPr>
            <w:tcW w:w="472" w:type="dxa"/>
          </w:tcPr>
          <w:p w14:paraId="5E8F0363" w14:textId="789CB75F" w:rsidR="00EB02B4" w:rsidRPr="00B60BCE" w:rsidRDefault="00752A92" w:rsidP="00E84CF5">
            <w:pPr>
              <w:rPr>
                <w:sz w:val="20"/>
                <w:szCs w:val="20"/>
              </w:rPr>
            </w:pPr>
            <w:r>
              <w:rPr>
                <w:sz w:val="20"/>
                <w:szCs w:val="20"/>
              </w:rPr>
              <w:t>8:</w:t>
            </w:r>
          </w:p>
        </w:tc>
        <w:tc>
          <w:tcPr>
            <w:tcW w:w="8878" w:type="dxa"/>
          </w:tcPr>
          <w:p w14:paraId="2F81D498" w14:textId="7E8CD47C" w:rsidR="00EB02B4" w:rsidRPr="00B60BCE" w:rsidRDefault="00360478" w:rsidP="00E84CF5">
            <w:pPr>
              <w:rPr>
                <w:sz w:val="20"/>
                <w:szCs w:val="20"/>
              </w:rPr>
            </w:pPr>
            <w:r>
              <w:rPr>
                <w:sz w:val="20"/>
                <w:szCs w:val="20"/>
              </w:rPr>
              <w:t xml:space="preserve">                     </w:t>
            </w:r>
            <m:oMath>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, </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l</m:t>
                          </m:r>
                        </m:e>
                      </m:d>
                    </m:sup>
                  </m:sSup>
                </m:e>
              </m:d>
              <m:r>
                <m:rPr>
                  <m:sty m:val="p"/>
                </m:rPr>
                <w:rPr>
                  <w:rFonts w:ascii="Cambria Math" w:hAnsi="Cambria Math"/>
                  <w:sz w:val="20"/>
                  <w:szCs w:val="20"/>
                </w:rPr>
                <m:t>←</m:t>
              </m:r>
              <m:r>
                <w:rPr>
                  <w:rFonts w:ascii="Cambria Math" w:hAnsi="Cambria Math"/>
                  <w:sz w:val="20"/>
                  <w:szCs w:val="20"/>
                </w:rPr>
                <m:t>Adam</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batch</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l</m:t>
                          </m:r>
                        </m:e>
                      </m:d>
                    </m:sup>
                  </m:sSup>
                </m:e>
              </m:d>
            </m:oMath>
          </w:p>
        </w:tc>
      </w:tr>
      <w:tr w:rsidR="00EB02B4" w:rsidRPr="00B60BCE" w14:paraId="749F4AC5" w14:textId="77777777" w:rsidTr="00615BBD">
        <w:tc>
          <w:tcPr>
            <w:tcW w:w="472" w:type="dxa"/>
          </w:tcPr>
          <w:p w14:paraId="0ECDD680" w14:textId="6A30866F" w:rsidR="00EB02B4" w:rsidRPr="00B60BCE" w:rsidRDefault="00752A92" w:rsidP="00E84CF5">
            <w:pPr>
              <w:rPr>
                <w:sz w:val="20"/>
                <w:szCs w:val="20"/>
              </w:rPr>
            </w:pPr>
            <w:r>
              <w:rPr>
                <w:sz w:val="20"/>
                <w:szCs w:val="20"/>
              </w:rPr>
              <w:t>9:</w:t>
            </w:r>
          </w:p>
        </w:tc>
        <w:tc>
          <w:tcPr>
            <w:tcW w:w="8878" w:type="dxa"/>
          </w:tcPr>
          <w:p w14:paraId="09AAB2F0" w14:textId="30096A33" w:rsidR="00EB02B4" w:rsidRPr="00AE3103" w:rsidRDefault="00AE3103" w:rsidP="00E84CF5">
            <w:pPr>
              <w:rPr>
                <w:b/>
                <w:bCs/>
                <w:sz w:val="20"/>
                <w:szCs w:val="20"/>
              </w:rPr>
            </w:pPr>
            <w:r>
              <w:rPr>
                <w:sz w:val="20"/>
                <w:szCs w:val="20"/>
              </w:rPr>
              <w:t xml:space="preserve">               </w:t>
            </w:r>
            <w:r w:rsidRPr="00AE3103">
              <w:rPr>
                <w:b/>
                <w:bCs/>
                <w:sz w:val="20"/>
                <w:szCs w:val="20"/>
              </w:rPr>
              <w:t>e</w:t>
            </w:r>
            <w:r>
              <w:rPr>
                <w:b/>
                <w:bCs/>
                <w:sz w:val="20"/>
                <w:szCs w:val="20"/>
              </w:rPr>
              <w:t>nd for</w:t>
            </w:r>
          </w:p>
        </w:tc>
      </w:tr>
      <w:tr w:rsidR="00EB02B4" w:rsidRPr="00B60BCE" w14:paraId="243917E6" w14:textId="77777777" w:rsidTr="00615BBD">
        <w:tc>
          <w:tcPr>
            <w:tcW w:w="472" w:type="dxa"/>
          </w:tcPr>
          <w:p w14:paraId="1E046081" w14:textId="702AF0B9" w:rsidR="00EB02B4" w:rsidRPr="00B60BCE" w:rsidRDefault="00752A92" w:rsidP="00E84CF5">
            <w:pPr>
              <w:rPr>
                <w:sz w:val="20"/>
                <w:szCs w:val="20"/>
              </w:rPr>
            </w:pPr>
            <w:r>
              <w:rPr>
                <w:sz w:val="20"/>
                <w:szCs w:val="20"/>
              </w:rPr>
              <w:t>10:</w:t>
            </w:r>
          </w:p>
        </w:tc>
        <w:tc>
          <w:tcPr>
            <w:tcW w:w="8878" w:type="dxa"/>
          </w:tcPr>
          <w:p w14:paraId="28F6EEEF" w14:textId="2FF7DE82" w:rsidR="00EB02B4" w:rsidRPr="00AE3103" w:rsidRDefault="00AE3103" w:rsidP="00E84CF5">
            <w:pPr>
              <w:rPr>
                <w:b/>
                <w:bCs/>
                <w:sz w:val="20"/>
                <w:szCs w:val="20"/>
              </w:rPr>
            </w:pPr>
            <w:r>
              <w:rPr>
                <w:sz w:val="20"/>
                <w:szCs w:val="20"/>
              </w:rPr>
              <w:t xml:space="preserve">        </w:t>
            </w:r>
            <w:r w:rsidRPr="00AE3103">
              <w:rPr>
                <w:b/>
                <w:bCs/>
                <w:sz w:val="20"/>
                <w:szCs w:val="20"/>
              </w:rPr>
              <w:t>end for</w:t>
            </w:r>
          </w:p>
        </w:tc>
      </w:tr>
      <w:tr w:rsidR="00EB02B4" w:rsidRPr="00B60BCE" w14:paraId="0F0D0733" w14:textId="77777777" w:rsidTr="00615BBD">
        <w:tc>
          <w:tcPr>
            <w:tcW w:w="472" w:type="dxa"/>
          </w:tcPr>
          <w:p w14:paraId="3D569A90" w14:textId="7B2D5A6E" w:rsidR="00EB02B4" w:rsidRPr="00B60BCE" w:rsidRDefault="00752A92" w:rsidP="00E84CF5">
            <w:pPr>
              <w:rPr>
                <w:sz w:val="20"/>
                <w:szCs w:val="20"/>
              </w:rPr>
            </w:pPr>
            <w:r>
              <w:rPr>
                <w:sz w:val="20"/>
                <w:szCs w:val="20"/>
              </w:rPr>
              <w:t>11:</w:t>
            </w:r>
          </w:p>
        </w:tc>
        <w:tc>
          <w:tcPr>
            <w:tcW w:w="8878" w:type="dxa"/>
          </w:tcPr>
          <w:p w14:paraId="3E744F25" w14:textId="4F844C23" w:rsidR="00EB02B4" w:rsidRPr="00B60BCE" w:rsidRDefault="0041295F" w:rsidP="00E84CF5">
            <w:pPr>
              <w:rPr>
                <w:sz w:val="20"/>
                <w:szCs w:val="20"/>
              </w:rPr>
            </w:pPr>
            <w:r>
              <w:rPr>
                <w:sz w:val="20"/>
                <w:szCs w:val="20"/>
              </w:rPr>
              <w:t xml:space="preserve">        </w:t>
            </w:r>
            <w:r w:rsidRPr="0041295F">
              <w:rPr>
                <w:sz w:val="20"/>
                <w:szCs w:val="20"/>
              </w:rPr>
              <w:t>Remove the decoder from the SA</w:t>
            </w:r>
          </w:p>
        </w:tc>
      </w:tr>
      <w:tr w:rsidR="00EB02B4" w:rsidRPr="00B60BCE" w14:paraId="4FC786C7" w14:textId="77777777" w:rsidTr="00615BBD">
        <w:tc>
          <w:tcPr>
            <w:tcW w:w="472" w:type="dxa"/>
          </w:tcPr>
          <w:p w14:paraId="01D9F152" w14:textId="133F52F2" w:rsidR="00EB02B4" w:rsidRPr="00B60BCE" w:rsidRDefault="00752A92" w:rsidP="00E84CF5">
            <w:pPr>
              <w:rPr>
                <w:sz w:val="20"/>
                <w:szCs w:val="20"/>
              </w:rPr>
            </w:pPr>
            <w:r>
              <w:rPr>
                <w:sz w:val="20"/>
                <w:szCs w:val="20"/>
              </w:rPr>
              <w:t>12:</w:t>
            </w:r>
          </w:p>
        </w:tc>
        <w:tc>
          <w:tcPr>
            <w:tcW w:w="8878" w:type="dxa"/>
          </w:tcPr>
          <w:p w14:paraId="210B7656" w14:textId="0360FEC7" w:rsidR="00EB02B4" w:rsidRPr="00B60BCE" w:rsidRDefault="00860C97" w:rsidP="00E84CF5">
            <w:pPr>
              <w:rPr>
                <w:sz w:val="20"/>
                <w:szCs w:val="20"/>
              </w:rPr>
            </w:pPr>
            <w:r>
              <w:rPr>
                <w:sz w:val="20"/>
                <w:szCs w:val="20"/>
              </w:rPr>
              <w:t xml:space="preserve">        </w:t>
            </w:r>
            <w:r w:rsidRPr="00860C97">
              <w:rPr>
                <w:sz w:val="20"/>
                <w:szCs w:val="20"/>
              </w:rPr>
              <w:t xml:space="preserve">Attach a </w:t>
            </w:r>
            <w:r w:rsidRPr="00CA6204">
              <w:rPr>
                <w:i/>
                <w:iCs/>
                <w:sz w:val="20"/>
                <w:szCs w:val="20"/>
              </w:rPr>
              <w:t>softmax</w:t>
            </w:r>
            <w:r w:rsidRPr="00860C97">
              <w:rPr>
                <w:sz w:val="20"/>
                <w:szCs w:val="20"/>
              </w:rPr>
              <w:t xml:space="preserve"> classifier to the last encoder</w:t>
            </w:r>
          </w:p>
        </w:tc>
      </w:tr>
      <w:tr w:rsidR="00EB02B4" w:rsidRPr="00B60BCE" w14:paraId="6532C07E" w14:textId="77777777" w:rsidTr="00615BBD">
        <w:tc>
          <w:tcPr>
            <w:tcW w:w="472" w:type="dxa"/>
          </w:tcPr>
          <w:p w14:paraId="348A605A" w14:textId="5F55959B" w:rsidR="00EB02B4" w:rsidRPr="00B60BCE" w:rsidRDefault="00752A92" w:rsidP="00E84CF5">
            <w:pPr>
              <w:rPr>
                <w:sz w:val="20"/>
                <w:szCs w:val="20"/>
              </w:rPr>
            </w:pPr>
            <w:r>
              <w:rPr>
                <w:sz w:val="20"/>
                <w:szCs w:val="20"/>
              </w:rPr>
              <w:t>13:</w:t>
            </w:r>
          </w:p>
        </w:tc>
        <w:tc>
          <w:tcPr>
            <w:tcW w:w="8878" w:type="dxa"/>
          </w:tcPr>
          <w:p w14:paraId="3B9F314A" w14:textId="50B25CC3" w:rsidR="00EB02B4" w:rsidRPr="00B60BCE" w:rsidRDefault="0092332E" w:rsidP="00E84CF5">
            <w:pPr>
              <w:rPr>
                <w:sz w:val="20"/>
                <w:szCs w:val="20"/>
              </w:rPr>
            </w:pPr>
            <w:r>
              <w:rPr>
                <w:sz w:val="20"/>
                <w:szCs w:val="20"/>
              </w:rPr>
              <w:t xml:space="preserve">        </w:t>
            </w:r>
            <w:r w:rsidR="00097991" w:rsidRPr="00097991">
              <w:rPr>
                <w:sz w:val="20"/>
                <w:szCs w:val="20"/>
              </w:rPr>
              <w:t xml:space="preserve">Initialize </w:t>
            </w:r>
            <m:oMath>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c</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c</m:t>
                      </m:r>
                    </m:e>
                  </m:d>
                </m:sup>
              </m:sSup>
            </m:oMath>
            <w:r w:rsidR="00097991" w:rsidRPr="00097991">
              <w:rPr>
                <w:sz w:val="20"/>
                <w:szCs w:val="20"/>
              </w:rPr>
              <w:t xml:space="preserve"> of the classifier</w:t>
            </w:r>
          </w:p>
        </w:tc>
      </w:tr>
      <w:tr w:rsidR="00EB02B4" w:rsidRPr="00B60BCE" w14:paraId="79E60FB6" w14:textId="77777777" w:rsidTr="00615BBD">
        <w:tc>
          <w:tcPr>
            <w:tcW w:w="472" w:type="dxa"/>
          </w:tcPr>
          <w:p w14:paraId="670F8F17" w14:textId="45B031B5" w:rsidR="00EB02B4" w:rsidRPr="00B60BCE" w:rsidRDefault="00752A92" w:rsidP="00E84CF5">
            <w:pPr>
              <w:rPr>
                <w:sz w:val="20"/>
                <w:szCs w:val="20"/>
              </w:rPr>
            </w:pPr>
            <w:r>
              <w:rPr>
                <w:sz w:val="20"/>
                <w:szCs w:val="20"/>
              </w:rPr>
              <w:t>14:</w:t>
            </w:r>
          </w:p>
        </w:tc>
        <w:tc>
          <w:tcPr>
            <w:tcW w:w="8878" w:type="dxa"/>
          </w:tcPr>
          <w:p w14:paraId="5AF16615" w14:textId="4B47BADC" w:rsidR="00EB02B4" w:rsidRPr="00B60BCE" w:rsidRDefault="008A3C0A" w:rsidP="00E84CF5">
            <w:pPr>
              <w:rPr>
                <w:sz w:val="20"/>
                <w:szCs w:val="20"/>
              </w:rPr>
            </w:pPr>
            <w:r>
              <w:rPr>
                <w:sz w:val="20"/>
                <w:szCs w:val="20"/>
              </w:rPr>
              <w:t xml:space="preserve">        </w:t>
            </w:r>
            <w:r w:rsidRPr="008A3C0A">
              <w:rPr>
                <w:sz w:val="20"/>
                <w:szCs w:val="20"/>
              </w:rPr>
              <w:t>$</w:t>
            </w: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out</m:t>
                  </m:r>
                </m:sub>
              </m:sSub>
            </m:oMath>
            <w:r w:rsidRPr="008A3C0A">
              <w:rPr>
                <w:sz w:val="20"/>
                <w:szCs w:val="20"/>
              </w:rPr>
              <w:t xml:space="preserve"> </w:t>
            </w:r>
            <m:oMath>
              <m:r>
                <m:rPr>
                  <m:sty m:val="p"/>
                </m:rPr>
                <w:rPr>
                  <w:rFonts w:ascii="Cambria Math" w:hAnsi="Cambria Math"/>
                  <w:sz w:val="20"/>
                  <w:szCs w:val="20"/>
                </w:rPr>
                <m:t>←</m:t>
              </m:r>
            </m:oMath>
            <w:r w:rsidR="00DC16CF">
              <w:rPr>
                <w:sz w:val="20"/>
                <w:szCs w:val="20"/>
              </w:rPr>
              <w:t xml:space="preserve"> </w:t>
            </w:r>
            <w:r w:rsidRPr="008A3C0A">
              <w:rPr>
                <w:sz w:val="20"/>
                <w:szCs w:val="20"/>
              </w:rPr>
              <w:t>Empty</w:t>
            </w:r>
          </w:p>
        </w:tc>
      </w:tr>
      <w:tr w:rsidR="00897347" w:rsidRPr="00B60BCE" w14:paraId="0F0AA508" w14:textId="77777777" w:rsidTr="00615BBD">
        <w:tc>
          <w:tcPr>
            <w:tcW w:w="472" w:type="dxa"/>
          </w:tcPr>
          <w:p w14:paraId="09F5C264" w14:textId="78B1589B" w:rsidR="00897347" w:rsidRPr="00B60BCE" w:rsidRDefault="00897347" w:rsidP="00897347">
            <w:pPr>
              <w:rPr>
                <w:sz w:val="20"/>
                <w:szCs w:val="20"/>
              </w:rPr>
            </w:pPr>
            <w:r>
              <w:rPr>
                <w:sz w:val="20"/>
                <w:szCs w:val="20"/>
              </w:rPr>
              <w:t>15:</w:t>
            </w:r>
          </w:p>
        </w:tc>
        <w:tc>
          <w:tcPr>
            <w:tcW w:w="8878" w:type="dxa"/>
          </w:tcPr>
          <w:p w14:paraId="342F20D0" w14:textId="53580D35" w:rsidR="00897347" w:rsidRPr="00B60BCE" w:rsidRDefault="00897347" w:rsidP="00897347">
            <w:pPr>
              <w:rPr>
                <w:sz w:val="20"/>
                <w:szCs w:val="20"/>
              </w:rPr>
            </w:pPr>
            <w:r>
              <w:rPr>
                <w:sz w:val="20"/>
                <w:szCs w:val="20"/>
              </w:rPr>
              <w:t xml:space="preserve">       </w:t>
            </w:r>
            <w:r w:rsidRPr="001A47DB">
              <w:rPr>
                <w:b/>
                <w:bCs/>
                <w:sz w:val="20"/>
                <w:szCs w:val="20"/>
              </w:rPr>
              <w:t>for</w:t>
            </w:r>
            <w:r w:rsidRPr="001A47DB">
              <w:rPr>
                <w:sz w:val="20"/>
                <w:szCs w:val="20"/>
              </w:rPr>
              <w:t xml:space="preserve"> epochs = 1, 2, . . .</w:t>
            </w:r>
            <w:r w:rsidRPr="001A47DB">
              <w:rPr>
                <w:i/>
                <w:iCs/>
                <w:sz w:val="20"/>
                <w:szCs w:val="20"/>
              </w:rPr>
              <w:t xml:space="preserve"> </w:t>
            </w:r>
            <m:oMath>
              <m:sSub>
                <m:sSubPr>
                  <m:ctrlPr>
                    <w:rPr>
                      <w:rFonts w:ascii="Cambria Math" w:hAnsi="Cambria Math"/>
                      <w:i/>
                      <w:iCs/>
                      <w:sz w:val="20"/>
                      <w:szCs w:val="20"/>
                    </w:rPr>
                  </m:ctrlPr>
                </m:sSubPr>
                <m:e>
                  <m:r>
                    <w:rPr>
                      <w:rFonts w:ascii="Cambria Math" w:hAnsi="Cambria Math"/>
                      <w:sz w:val="20"/>
                      <w:szCs w:val="20"/>
                    </w:rPr>
                    <m:t>K</m:t>
                  </m:r>
                </m:e>
                <m:sub>
                  <m:r>
                    <w:rPr>
                      <w:rFonts w:ascii="Cambria Math" w:hAnsi="Cambria Math"/>
                      <w:sz w:val="20"/>
                      <w:szCs w:val="20"/>
                    </w:rPr>
                    <m:t>c</m:t>
                  </m:r>
                </m:sub>
              </m:sSub>
            </m:oMath>
            <w:r w:rsidRPr="001A47DB">
              <w:rPr>
                <w:sz w:val="20"/>
                <w:szCs w:val="20"/>
              </w:rPr>
              <w:t xml:space="preserve"> </w:t>
            </w:r>
            <w:r w:rsidRPr="001A47DB">
              <w:rPr>
                <w:b/>
                <w:bCs/>
                <w:sz w:val="20"/>
                <w:szCs w:val="20"/>
              </w:rPr>
              <w:t>do</w:t>
            </w:r>
          </w:p>
        </w:tc>
      </w:tr>
      <w:tr w:rsidR="00897347" w:rsidRPr="00B60BCE" w14:paraId="0A025D9A" w14:textId="77777777" w:rsidTr="00615BBD">
        <w:tc>
          <w:tcPr>
            <w:tcW w:w="472" w:type="dxa"/>
          </w:tcPr>
          <w:p w14:paraId="2669D2BD" w14:textId="5A2FEF81" w:rsidR="00897347" w:rsidRPr="00B60BCE" w:rsidRDefault="00897347" w:rsidP="00897347">
            <w:pPr>
              <w:rPr>
                <w:sz w:val="20"/>
                <w:szCs w:val="20"/>
              </w:rPr>
            </w:pPr>
            <w:r>
              <w:rPr>
                <w:sz w:val="20"/>
                <w:szCs w:val="20"/>
              </w:rPr>
              <w:t>16:</w:t>
            </w:r>
          </w:p>
        </w:tc>
        <w:tc>
          <w:tcPr>
            <w:tcW w:w="8878" w:type="dxa"/>
          </w:tcPr>
          <w:p w14:paraId="44C6644B" w14:textId="0D84BC3F" w:rsidR="00897347" w:rsidRPr="00B60BCE" w:rsidRDefault="00897347" w:rsidP="00897347">
            <w:pPr>
              <w:rPr>
                <w:sz w:val="20"/>
                <w:szCs w:val="20"/>
              </w:rPr>
            </w:pPr>
            <w:r>
              <w:rPr>
                <w:sz w:val="20"/>
                <w:szCs w:val="20"/>
              </w:rPr>
              <w:t xml:space="preserve">              </w:t>
            </w:r>
            <w:r w:rsidRPr="004C450B">
              <w:rPr>
                <w:b/>
                <w:bCs/>
                <w:sz w:val="20"/>
                <w:szCs w:val="20"/>
              </w:rPr>
              <w:t>f</w:t>
            </w:r>
            <w:r w:rsidRPr="005A0C8A">
              <w:rPr>
                <w:b/>
                <w:bCs/>
                <w:sz w:val="20"/>
                <w:szCs w:val="20"/>
              </w:rPr>
              <w:t>or</w:t>
            </w:r>
            <w:r>
              <w:rPr>
                <w:b/>
                <w:bCs/>
                <w:sz w:val="20"/>
                <w:szCs w:val="20"/>
              </w:rPr>
              <w:t xml:space="preserve"> </w:t>
            </w:r>
            <m:oMath>
              <m:r>
                <w:rPr>
                  <w:rFonts w:ascii="Cambria Math" w:hAnsi="Cambria Math"/>
                  <w:sz w:val="20"/>
                  <w:szCs w:val="20"/>
                </w:rPr>
                <m:t>batches=1,2</m:t>
              </m:r>
              <m:r>
                <w:rPr>
                  <w:rFonts w:ascii="Cambria Math" w:hAnsi="Cambria Math"/>
                  <w:sz w:val="20"/>
                  <w:szCs w:val="20"/>
                </w:rPr>
                <m:t xml:space="preserve">, .. </m:t>
              </m:r>
              <m:r>
                <w:rPr>
                  <w:rFonts w:ascii="Cambria Math" w:hAnsi="Cambria Math"/>
                  <w:sz w:val="20"/>
                  <w:szCs w:val="20"/>
                </w:rPr>
                <m:t>B</m:t>
              </m:r>
              <m:r>
                <w:rPr>
                  <w:rFonts w:ascii="Cambria Math" w:hAnsi="Cambria Math"/>
                  <w:sz w:val="20"/>
                  <w:szCs w:val="20"/>
                </w:rPr>
                <m:t xml:space="preserve"> </m:t>
              </m:r>
            </m:oMath>
            <w:r w:rsidRPr="00E84CF5">
              <w:rPr>
                <w:sz w:val="20"/>
                <w:szCs w:val="20"/>
              </w:rPr>
              <w:t xml:space="preserve">in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batch</m:t>
                  </m:r>
                </m:sub>
              </m:sSub>
            </m:oMath>
          </w:p>
        </w:tc>
      </w:tr>
      <w:tr w:rsidR="00897347" w:rsidRPr="00B60BCE" w14:paraId="655C1E88" w14:textId="77777777" w:rsidTr="00615BBD">
        <w:tc>
          <w:tcPr>
            <w:tcW w:w="472" w:type="dxa"/>
          </w:tcPr>
          <w:p w14:paraId="17CD93F2" w14:textId="667E1451" w:rsidR="00897347" w:rsidRPr="00B60BCE" w:rsidRDefault="00897347" w:rsidP="00897347">
            <w:pPr>
              <w:rPr>
                <w:sz w:val="20"/>
                <w:szCs w:val="20"/>
              </w:rPr>
            </w:pPr>
            <w:r>
              <w:rPr>
                <w:sz w:val="20"/>
                <w:szCs w:val="20"/>
              </w:rPr>
              <w:t>17:</w:t>
            </w:r>
          </w:p>
        </w:tc>
        <w:tc>
          <w:tcPr>
            <w:tcW w:w="8878" w:type="dxa"/>
          </w:tcPr>
          <w:p w14:paraId="44B16AD4" w14:textId="7CB41CE7" w:rsidR="00897347" w:rsidRPr="003A68D7" w:rsidRDefault="0039216E" w:rsidP="0039216E">
            <w:pPr>
              <w:rPr>
                <w:rFonts w:ascii="Cambria Math" w:hAnsi="Cambria Math"/>
                <w:sz w:val="20"/>
                <w:szCs w:val="20"/>
                <w:oMath/>
              </w:rPr>
            </w:pPr>
            <w:r>
              <w:rPr>
                <w:sz w:val="20"/>
                <w:szCs w:val="20"/>
              </w:rPr>
              <w:t xml:space="preserve">                    </w:t>
            </w:r>
            <m:oMath>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c</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c</m:t>
                          </m:r>
                        </m:e>
                      </m:d>
                    </m:sup>
                  </m:sSup>
                </m:e>
              </m:d>
              <m:r>
                <m:rPr>
                  <m:sty m:val="p"/>
                </m:rPr>
                <w:rPr>
                  <w:rFonts w:ascii="Cambria Math" w:hAnsi="Cambria Math"/>
                  <w:sz w:val="20"/>
                  <w:szCs w:val="20"/>
                </w:rPr>
                <m:t>←</m:t>
              </m:r>
              <m:r>
                <w:rPr>
                  <w:rFonts w:ascii="Cambria Math" w:hAnsi="Cambria Math"/>
                  <w:sz w:val="20"/>
                  <w:szCs w:val="20"/>
                </w:rPr>
                <m:t>Adam</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batch</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W</m:t>
                      </m:r>
                    </m:e>
                    <m:sup>
                      <m:d>
                        <m:dPr>
                          <m:ctrlPr>
                            <w:rPr>
                              <w:rFonts w:ascii="Cambria Math" w:hAnsi="Cambria Math"/>
                              <w:i/>
                              <w:sz w:val="20"/>
                              <w:szCs w:val="20"/>
                            </w:rPr>
                          </m:ctrlPr>
                        </m:dPr>
                        <m:e>
                          <m:r>
                            <w:rPr>
                              <w:rFonts w:ascii="Cambria Math" w:hAnsi="Cambria Math"/>
                              <w:sz w:val="20"/>
                              <w:szCs w:val="20"/>
                            </w:rPr>
                            <m:t>c</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d>
                        <m:dPr>
                          <m:ctrlPr>
                            <w:rPr>
                              <w:rFonts w:ascii="Cambria Math" w:hAnsi="Cambria Math"/>
                              <w:i/>
                              <w:sz w:val="20"/>
                              <w:szCs w:val="20"/>
                            </w:rPr>
                          </m:ctrlPr>
                        </m:dPr>
                        <m:e>
                          <m:r>
                            <w:rPr>
                              <w:rFonts w:ascii="Cambria Math" w:hAnsi="Cambria Math"/>
                              <w:sz w:val="20"/>
                              <w:szCs w:val="20"/>
                            </w:rPr>
                            <m:t>c</m:t>
                          </m:r>
                        </m:e>
                      </m:d>
                    </m:sup>
                  </m:sSup>
                </m:e>
              </m:d>
            </m:oMath>
          </w:p>
        </w:tc>
      </w:tr>
      <w:tr w:rsidR="00897347" w:rsidRPr="00B60BCE" w14:paraId="3CE84198" w14:textId="77777777" w:rsidTr="00615BBD">
        <w:tc>
          <w:tcPr>
            <w:tcW w:w="472" w:type="dxa"/>
          </w:tcPr>
          <w:p w14:paraId="1A0C273E" w14:textId="372527EB" w:rsidR="00897347" w:rsidRPr="00B60BCE" w:rsidRDefault="00897347" w:rsidP="00897347">
            <w:pPr>
              <w:rPr>
                <w:sz w:val="20"/>
                <w:szCs w:val="20"/>
              </w:rPr>
            </w:pPr>
            <w:r>
              <w:rPr>
                <w:sz w:val="20"/>
                <w:szCs w:val="20"/>
              </w:rPr>
              <w:t>18:</w:t>
            </w:r>
          </w:p>
        </w:tc>
        <w:tc>
          <w:tcPr>
            <w:tcW w:w="8878" w:type="dxa"/>
          </w:tcPr>
          <w:p w14:paraId="5F4A3536" w14:textId="3244FFAE" w:rsidR="00897347" w:rsidRPr="00B60BCE" w:rsidRDefault="001F6F7A" w:rsidP="00897347">
            <w:pPr>
              <w:rPr>
                <w:sz w:val="20"/>
                <w:szCs w:val="20"/>
              </w:rPr>
            </w:pPr>
            <w:r>
              <w:rPr>
                <w:sz w:val="20"/>
                <w:szCs w:val="20"/>
              </w:rPr>
              <w:t xml:space="preserve">                     </w:t>
            </w:r>
            <w:r w:rsidRPr="001F6F7A">
              <w:rPr>
                <w:sz w:val="20"/>
                <w:szCs w:val="20"/>
              </w:rPr>
              <w:t xml:space="preserve">Get the propensity score </w:t>
            </w:r>
            <m:oMath>
              <m:r>
                <m:rPr>
                  <m:sty m:val="p"/>
                </m:rPr>
                <w:rPr>
                  <w:rFonts w:ascii="Cambria Math" w:hAnsi="Cambria Math"/>
                  <w:sz w:val="20"/>
                  <w:szCs w:val="20"/>
                </w:rPr>
                <m:t>π</m:t>
              </m:r>
              <m:r>
                <w:rPr>
                  <w:rFonts w:ascii="Cambria Math" w:hAnsi="Cambria Math"/>
                  <w:sz w:val="20"/>
                  <w:szCs w:val="20"/>
                </w:rPr>
                <m:t>(T</m:t>
              </m:r>
              <m:r>
                <m:rPr>
                  <m:sty m:val="p"/>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batch</m:t>
                  </m:r>
                </m:sub>
              </m:sSub>
              <m:r>
                <w:rPr>
                  <w:rFonts w:ascii="Cambria Math" w:hAnsi="Cambria Math"/>
                  <w:sz w:val="20"/>
                  <w:szCs w:val="20"/>
                </w:rPr>
                <m:t>)</m:t>
              </m:r>
            </m:oMath>
            <w:r w:rsidRPr="001F6F7A">
              <w:rPr>
                <w:sz w:val="20"/>
                <w:szCs w:val="20"/>
              </w:rPr>
              <w:t xml:space="preserve"> and add to </w:t>
            </w: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out</m:t>
                  </m:r>
                </m:sub>
              </m:sSub>
            </m:oMath>
          </w:p>
        </w:tc>
      </w:tr>
      <w:tr w:rsidR="00A85B9B" w:rsidRPr="00B60BCE" w14:paraId="1AC7E8D9" w14:textId="77777777" w:rsidTr="00615BBD">
        <w:tc>
          <w:tcPr>
            <w:tcW w:w="472" w:type="dxa"/>
          </w:tcPr>
          <w:p w14:paraId="35292A0E" w14:textId="4E1A076C" w:rsidR="00A85B9B" w:rsidRPr="00B60BCE" w:rsidRDefault="00A85B9B" w:rsidP="00A85B9B">
            <w:pPr>
              <w:rPr>
                <w:sz w:val="20"/>
                <w:szCs w:val="20"/>
              </w:rPr>
            </w:pPr>
            <w:r>
              <w:rPr>
                <w:sz w:val="20"/>
                <w:szCs w:val="20"/>
              </w:rPr>
              <w:t>19:</w:t>
            </w:r>
          </w:p>
        </w:tc>
        <w:tc>
          <w:tcPr>
            <w:tcW w:w="8878" w:type="dxa"/>
          </w:tcPr>
          <w:p w14:paraId="073F19A8" w14:textId="3C61DA5B" w:rsidR="00A85B9B" w:rsidRPr="00B60BCE" w:rsidRDefault="00A85B9B" w:rsidP="00A85B9B">
            <w:pPr>
              <w:rPr>
                <w:sz w:val="20"/>
                <w:szCs w:val="20"/>
              </w:rPr>
            </w:pPr>
            <w:r>
              <w:rPr>
                <w:sz w:val="20"/>
                <w:szCs w:val="20"/>
              </w:rPr>
              <w:t xml:space="preserve">               </w:t>
            </w:r>
            <w:r w:rsidRPr="00AE3103">
              <w:rPr>
                <w:b/>
                <w:bCs/>
                <w:sz w:val="20"/>
                <w:szCs w:val="20"/>
              </w:rPr>
              <w:t>e</w:t>
            </w:r>
            <w:r>
              <w:rPr>
                <w:b/>
                <w:bCs/>
                <w:sz w:val="20"/>
                <w:szCs w:val="20"/>
              </w:rPr>
              <w:t>nd for</w:t>
            </w:r>
          </w:p>
        </w:tc>
      </w:tr>
      <w:tr w:rsidR="00A85B9B" w:rsidRPr="00B60BCE" w14:paraId="58A7A4DF" w14:textId="77777777" w:rsidTr="00615BBD">
        <w:tc>
          <w:tcPr>
            <w:tcW w:w="472" w:type="dxa"/>
          </w:tcPr>
          <w:p w14:paraId="023C83C2" w14:textId="0F7B626C" w:rsidR="00A85B9B" w:rsidRPr="00B60BCE" w:rsidRDefault="00A85B9B" w:rsidP="00A85B9B">
            <w:pPr>
              <w:rPr>
                <w:sz w:val="20"/>
                <w:szCs w:val="20"/>
              </w:rPr>
            </w:pPr>
            <w:r>
              <w:rPr>
                <w:sz w:val="20"/>
                <w:szCs w:val="20"/>
              </w:rPr>
              <w:t>20:</w:t>
            </w:r>
          </w:p>
        </w:tc>
        <w:tc>
          <w:tcPr>
            <w:tcW w:w="8878" w:type="dxa"/>
            <w:tcBorders>
              <w:bottom w:val="single" w:sz="4" w:space="0" w:color="auto"/>
            </w:tcBorders>
          </w:tcPr>
          <w:p w14:paraId="6697626C" w14:textId="1102B0A0" w:rsidR="00A85B9B" w:rsidRPr="00B60BCE" w:rsidRDefault="00A85B9B" w:rsidP="00A85B9B">
            <w:pPr>
              <w:rPr>
                <w:sz w:val="20"/>
                <w:szCs w:val="20"/>
              </w:rPr>
            </w:pPr>
            <w:r>
              <w:rPr>
                <w:sz w:val="20"/>
                <w:szCs w:val="20"/>
              </w:rPr>
              <w:t xml:space="preserve">        </w:t>
            </w:r>
            <w:r w:rsidRPr="00AE3103">
              <w:rPr>
                <w:b/>
                <w:bCs/>
                <w:sz w:val="20"/>
                <w:szCs w:val="20"/>
              </w:rPr>
              <w:t>end for</w:t>
            </w:r>
          </w:p>
        </w:tc>
      </w:tr>
    </w:tbl>
    <w:p w14:paraId="5F64EA91" w14:textId="77777777" w:rsidR="00903AF6" w:rsidRDefault="00903AF6" w:rsidP="00ED147C">
      <w:pPr>
        <w:pStyle w:val="AMIAHeading"/>
        <w:spacing w:line="480" w:lineRule="auto"/>
        <w:jc w:val="left"/>
        <w:rPr>
          <w:b w:val="0"/>
          <w:bCs/>
        </w:rPr>
      </w:pPr>
    </w:p>
    <w:p w14:paraId="0656C4A8" w14:textId="02D2105A" w:rsidR="00EB02B4" w:rsidRDefault="008C7A7A" w:rsidP="00ED147C">
      <w:pPr>
        <w:pStyle w:val="AMIAHeading"/>
        <w:spacing w:line="480" w:lineRule="auto"/>
        <w:jc w:val="left"/>
        <w:rPr>
          <w:b w:val="0"/>
          <w:bCs/>
        </w:rPr>
      </w:pPr>
      <w:r w:rsidRPr="008C7A7A">
        <w:rPr>
          <w:b w:val="0"/>
          <w:bCs/>
        </w:rPr>
        <w:t>In addition to IHDP, we also created a synthetic dataset with larger covariate space, first by doubling the original IHDP feature set through the creation of 25 random variables (shuffling the original ones), and then triplicating it with another set of 25 covariates partially correlated to the original ones (appr</w:t>
      </w:r>
      <w:r w:rsidR="00D077DC">
        <w:rPr>
          <w:b w:val="0"/>
          <w:bCs/>
        </w:rPr>
        <w:t>o</w:t>
      </w:r>
      <w:r w:rsidRPr="008C7A7A">
        <w:rPr>
          <w:b w:val="0"/>
          <w:bCs/>
        </w:rPr>
        <w:t xml:space="preserve">x. </w:t>
      </w:r>
      <m:oMath>
        <m:r>
          <m:rPr>
            <m:sty m:val="p"/>
          </m:rPr>
          <w:rPr>
            <w:rFonts w:ascii="Cambria Math" w:hAnsi="Cambria Math"/>
          </w:rPr>
          <m:t>ρ</m:t>
        </m:r>
        <m:r>
          <w:rPr>
            <w:rFonts w:ascii="Cambria Math" w:hAnsi="Cambria Math"/>
          </w:rPr>
          <m:t>=0.4</m:t>
        </m:r>
      </m:oMath>
      <w:r w:rsidRPr="008C7A7A">
        <w:rPr>
          <w:b w:val="0"/>
          <w:bCs/>
        </w:rPr>
        <w:t>), using a Gaussian noise</w:t>
      </w:r>
      <w:r w:rsidR="00AC073E">
        <w:rPr>
          <w:b w:val="0"/>
          <w:bCs/>
        </w:rPr>
        <w:t xml:space="preserve"> </w:t>
      </w:r>
      <w:r w:rsidRPr="008C7A7A">
        <w:rPr>
          <w:b w:val="0"/>
          <w:bCs/>
        </w:rPr>
        <w:t xml:space="preserve">addition </w:t>
      </w:r>
      <m:oMath>
        <m:r>
          <m:rPr>
            <m:scr m:val="script"/>
          </m:rPr>
          <w:rPr>
            <w:rFonts w:ascii="Cambria Math" w:hAnsi="Cambria Math"/>
          </w:rPr>
          <m:t>N</m:t>
        </m:r>
        <m:r>
          <w:rPr>
            <w:rFonts w:ascii="Cambria Math" w:hAnsi="Cambria Math"/>
          </w:rPr>
          <m:t>0,2</m:t>
        </m:r>
        <m:r>
          <m:rPr>
            <m:sty m:val="p"/>
          </m:rPr>
          <w:rPr>
            <w:rFonts w:ascii="Cambria Math" w:hAnsi="Cambria Math"/>
          </w:rPr>
          <m:t>σ</m:t>
        </m:r>
        <m:d>
          <m:dPr>
            <m:ctrlPr>
              <w:rPr>
                <w:rFonts w:ascii="Cambria Math" w:hAnsi="Cambria Math"/>
                <w:b w:val="0"/>
                <w:bCs/>
                <w:i/>
              </w:rPr>
            </m:ctrlPr>
          </m:dPr>
          <m:e>
            <m:d>
              <m:dPr>
                <m:ctrlPr>
                  <w:rPr>
                    <w:rFonts w:ascii="Cambria Math" w:hAnsi="Cambria Math"/>
                    <w:b w:val="0"/>
                    <w:bCs/>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k</m:t>
                    </m:r>
                  </m:sub>
                </m:sSub>
              </m:e>
            </m:d>
          </m:e>
        </m:d>
      </m:oMath>
      <w:r w:rsidRPr="008C7A7A">
        <w:rPr>
          <w:b w:val="0"/>
          <w:bCs/>
        </w:rPr>
        <w:t xml:space="preserve"> to each original variable </w:t>
      </w:r>
      <m:oMath>
        <m:sSub>
          <m:sSubPr>
            <m:ctrlPr>
              <w:rPr>
                <w:rFonts w:ascii="Cambria Math" w:hAnsi="Cambria Math"/>
                <w:b w:val="0"/>
                <w:bCs/>
                <w:i/>
              </w:rPr>
            </m:ctrlPr>
          </m:sSubPr>
          <m:e>
            <m:r>
              <w:rPr>
                <w:rFonts w:ascii="Cambria Math" w:hAnsi="Cambria Math"/>
              </w:rPr>
              <m:t>x</m:t>
            </m:r>
          </m:e>
          <m:sub>
            <m:r>
              <w:rPr>
                <w:rFonts w:ascii="Cambria Math" w:hAnsi="Cambria Math"/>
              </w:rPr>
              <m:t>k</m:t>
            </m:r>
          </m:sub>
        </m:sSub>
      </m:oMath>
      <w:r w:rsidRPr="008C7A7A">
        <w:rPr>
          <w:b w:val="0"/>
          <w:bCs/>
        </w:rPr>
        <w:t>. The factual and counterfactual outcomes matched those of IHDP.</w:t>
      </w:r>
    </w:p>
    <w:p w14:paraId="4A326352" w14:textId="197B2792" w:rsidR="0082723B" w:rsidRDefault="007F554D" w:rsidP="00ED147C">
      <w:pPr>
        <w:pStyle w:val="AMIAHeading"/>
        <w:spacing w:line="480" w:lineRule="auto"/>
        <w:jc w:val="left"/>
        <w:rPr>
          <w:b w:val="0"/>
          <w:bCs/>
        </w:rPr>
      </w:pPr>
      <w:r w:rsidRPr="007F554D">
        <w:t>DPN-SA and Other Comparison Methods.</w:t>
      </w:r>
      <w:r w:rsidR="005F6110">
        <w:t xml:space="preserve"> </w:t>
      </w:r>
      <w:r w:rsidR="005F6110" w:rsidRPr="00ED5814">
        <w:rPr>
          <w:b w:val="0"/>
          <w:bCs/>
        </w:rPr>
        <w:t xml:space="preserve">Four different configurations of the DPN-SA were tested --on both the real and synthetic datasets: (i) 25-20-10-20-25; (ii) 25-10-25, which is similar to PCA; (iii) 25-1-25, which is similar to regularized logistic regression. For all four, both end-to-end and stacked greedy training were executed. In the greedy layer wise training, we employed two strategies - 1) we trained only the newly added layer while keeping the </w:t>
      </w:r>
      <w:r w:rsidR="005F6110" w:rsidRPr="00ED5814">
        <w:rPr>
          <w:b w:val="0"/>
          <w:bCs/>
        </w:rPr>
        <w:lastRenderedPageBreak/>
        <w:t xml:space="preserve">other layers fixed and stacked them one after the other; 2) we trained the newly added layer along with the previous layers and stacked them one after the other. The learning rates for the sparse autoencoder and for the </w:t>
      </w:r>
      <w:r w:rsidR="00AD1600">
        <w:rPr>
          <w:b w:val="0"/>
          <w:bCs/>
          <w:i/>
          <w:iCs/>
        </w:rPr>
        <w:t xml:space="preserve">softmax </w:t>
      </w:r>
      <w:r w:rsidR="005F6110" w:rsidRPr="00ED5814">
        <w:rPr>
          <w:b w:val="0"/>
          <w:bCs/>
        </w:rPr>
        <w:t>were 0.001 and 0.01, respectively. We set weight decay (</w:t>
      </w:r>
      <m:oMath>
        <m:r>
          <w:rPr>
            <w:rFonts w:ascii="Cambria Math" w:hAnsi="Cambria Math"/>
          </w:rPr>
          <m:t>λ</m:t>
        </m:r>
      </m:oMath>
      <w:r w:rsidR="005F6110" w:rsidRPr="00ED5814">
        <w:rPr>
          <w:b w:val="0"/>
          <w:bCs/>
        </w:rPr>
        <w:t>), sparsity parameter (</w:t>
      </w:r>
      <m:oMath>
        <m:r>
          <w:rPr>
            <w:rFonts w:ascii="Cambria Math" w:hAnsi="Cambria Math"/>
          </w:rPr>
          <m:t>ρ</m:t>
        </m:r>
      </m:oMath>
      <w:r w:rsidR="005F6110" w:rsidRPr="00ED5814">
        <w:rPr>
          <w:b w:val="0"/>
          <w:bCs/>
        </w:rPr>
        <w:t>), and sparse penalty (</w:t>
      </w:r>
      <m:oMath>
        <m:r>
          <w:rPr>
            <w:rFonts w:ascii="Cambria Math" w:hAnsi="Cambria Math"/>
          </w:rPr>
          <m:t>β</m:t>
        </m:r>
      </m:oMath>
      <w:r w:rsidR="005F6110" w:rsidRPr="00ED5814">
        <w:rPr>
          <w:b w:val="0"/>
          <w:bCs/>
        </w:rPr>
        <w:t>) to 0.0003, 0.8,</w:t>
      </w:r>
      <w:r w:rsidR="0082723B">
        <w:rPr>
          <w:b w:val="0"/>
          <w:bCs/>
        </w:rPr>
        <w:t xml:space="preserve"> </w:t>
      </w:r>
    </w:p>
    <w:p w14:paraId="20C00A22" w14:textId="77777777" w:rsidR="0082723B" w:rsidRDefault="0082723B" w:rsidP="0082723B">
      <w:pPr>
        <w:pStyle w:val="AMIAHeading"/>
        <w:spacing w:line="480" w:lineRule="auto"/>
        <w:jc w:val="left"/>
        <w:rPr>
          <w:b w:val="0"/>
          <w:bCs/>
        </w:rPr>
      </w:pPr>
      <w:r w:rsidRPr="00ED5814">
        <w:rPr>
          <w:b w:val="0"/>
          <w:bCs/>
        </w:rPr>
        <w:t xml:space="preserve">and 0.1, respectively, with a batch size of 32. The </w:t>
      </w:r>
      <w:r>
        <w:rPr>
          <w:b w:val="0"/>
          <w:bCs/>
          <w:i/>
          <w:iCs/>
        </w:rPr>
        <w:t>softmax</w:t>
      </w:r>
      <w:r w:rsidRPr="00ED5814">
        <w:rPr>
          <w:b w:val="0"/>
          <w:bCs/>
        </w:rPr>
        <w:t xml:space="preserve"> classifier was ran for 50 epochs (</w:t>
      </w:r>
      <m:oMath>
        <m:sSub>
          <m:sSubPr>
            <m:ctrlPr>
              <w:rPr>
                <w:rFonts w:ascii="Cambria Math" w:hAnsi="Cambria Math"/>
                <w:b w:val="0"/>
                <w:bCs/>
                <w:i/>
              </w:rPr>
            </m:ctrlPr>
          </m:sSubPr>
          <m:e>
            <m:r>
              <w:rPr>
                <w:rFonts w:ascii="Cambria Math" w:hAnsi="Cambria Math"/>
              </w:rPr>
              <m:t>K</m:t>
            </m:r>
          </m:e>
          <m:sub>
            <m:r>
              <w:rPr>
                <w:rFonts w:ascii="Cambria Math" w:hAnsi="Cambria Math"/>
              </w:rPr>
              <m:t>c</m:t>
            </m:r>
          </m:sub>
        </m:sSub>
      </m:oMath>
      <w:r w:rsidRPr="00ED5814">
        <w:rPr>
          <w:b w:val="0"/>
          <w:bCs/>
        </w:rPr>
        <w:t xml:space="preserve">) with a batch size of 32. The DPN-SA was implemented using the </w:t>
      </w:r>
      <w:r w:rsidRPr="00542428">
        <w:rPr>
          <w:b w:val="0"/>
          <w:bCs/>
          <w:i/>
          <w:iCs/>
        </w:rPr>
        <w:t>Pytorch</w:t>
      </w:r>
      <w:r w:rsidRPr="00ED5814">
        <w:rPr>
          <w:b w:val="0"/>
          <w:bCs/>
        </w:rPr>
        <w:t xml:space="preserve"> framework (</w:t>
      </w:r>
      <w:hyperlink r:id="rId8" w:history="1">
        <w:r w:rsidRPr="00C00EF9">
          <w:rPr>
            <w:rStyle w:val="Hyperlink"/>
            <w:b w:val="0"/>
            <w:bCs/>
          </w:rPr>
          <w:t>https://pytorch.org/</w:t>
        </w:r>
      </w:hyperlink>
      <w:r w:rsidRPr="00ED5814">
        <w:rPr>
          <w:b w:val="0"/>
          <w:bCs/>
        </w:rPr>
        <w:t>)</w:t>
      </w:r>
    </w:p>
    <w:p w14:paraId="025185E2" w14:textId="77777777" w:rsidR="0082723B" w:rsidRDefault="0082723B" w:rsidP="0082723B">
      <w:pPr>
        <w:pStyle w:val="AMIAHeading"/>
        <w:spacing w:line="480" w:lineRule="auto"/>
        <w:jc w:val="left"/>
        <w:rPr>
          <w:b w:val="0"/>
          <w:bCs/>
        </w:rPr>
      </w:pPr>
      <w:r w:rsidRPr="00F97C6C">
        <w:rPr>
          <w:b w:val="0"/>
          <w:bCs/>
        </w:rPr>
        <w:t>In addition to the DPN-SA, we ran and compared: (i) the original DCN-PD, (ii) a standard logistic regression, and (iii) logistic regression with LASSO regularization.</w:t>
      </w:r>
    </w:p>
    <w:p w14:paraId="0C89E62D" w14:textId="7CCA1617" w:rsidR="0082723B" w:rsidRDefault="0082723B" w:rsidP="0082723B">
      <w:pPr>
        <w:pStyle w:val="AMIAHeading"/>
        <w:spacing w:line="480" w:lineRule="auto"/>
        <w:jc w:val="left"/>
        <w:rPr>
          <w:b w:val="0"/>
          <w:bCs/>
        </w:rPr>
      </w:pPr>
      <w:r w:rsidRPr="00AD46C8">
        <w:t>Testing</w:t>
      </w:r>
      <w:r>
        <w:t xml:space="preserve">. </w:t>
      </w:r>
      <w:r w:rsidRPr="00DA4B04">
        <w:rPr>
          <w:b w:val="0"/>
          <w:bCs/>
        </w:rPr>
        <w:t>The models were trained on 80\% of the data and validated on the remaining 20%, repeating the procedure for 100 times, calculating MSE, ITE and ATE in the same way as</w:t>
      </w:r>
      <w:r>
        <w:rPr>
          <w:b w:val="0"/>
          <w:bCs/>
        </w:rPr>
        <w:t>.</w:t>
      </w:r>
      <w:r>
        <w:rPr>
          <w:b w:val="0"/>
          <w:bCs/>
        </w:rPr>
        <w:fldChar w:fldCharType="begin" w:fldLock="1"/>
      </w:r>
      <w:r>
        <w:rPr>
          <w:b w:val="0"/>
          <w:bCs/>
        </w:rPr>
        <w:instrText>ADDIN CSL_CITATION {"citationItems":[{"id":"ITEM-1","itemData":{"abstract":"We propose a novel approach for inferring the individualized causal effects of a treatment (intervention) from observational data. Our approach conceptualizes causal inference as a multitask learning problem; we model a subject's potential outcomes using a deep multitask network with a set of shared layers among the factual and counterfactual outcomes, and a set of outcome-specific layers. The impact of selection bias in the observational data is alleviated via a propensity-dropout regularization scheme, in which the network is thinned for every training example via a dropout probability that depends on the associated propensity score. The network is trained in alternating phases, where in each phase we use the training examples of one of the two potential outcomes (treated and control populations) to update the weights of the shared layers and the respective outcome-specific layers. Experiments conducted on data based on a real-world observational study show that our algorithm outperforms the state-of-the-art.","author":[{"dropping-particle":"","family":"Alaa","given":"Ahmed M.","non-dropping-particle":"","parse-names":false,"suffix":""},{"dropping-particle":"","family":"Weisz","given":"Michael","non-dropping-particle":"","parse-names":false,"suffix":""},{"dropping-particle":"","family":"Schaar","given":"Mihaela","non-dropping-particle":"van der","parse-names":false,"suffix":""}],"id":"ITEM-1","issued":{"date-parts":[["2017"]]},"title":"Deep Counterfactual Networks with Propensity-Dropout","type":"article-journal"},"uris":["http://www.mendeley.com/documents/?uuid=ae03d306-b906-4b86-ad33-9495f4a62b33"]}],"mendeley":{"formattedCitation":"[17]","plainTextFormattedCitation":"[17]","previouslyFormattedCitation":"[17]"},"properties":{"noteIndex":0},"schema":"https://github.com/citation-style-language/schema/raw/master/csl-citation.json"}</w:instrText>
      </w:r>
      <w:r>
        <w:rPr>
          <w:b w:val="0"/>
          <w:bCs/>
        </w:rPr>
        <w:fldChar w:fldCharType="separate"/>
      </w:r>
      <w:r w:rsidRPr="003502D5">
        <w:rPr>
          <w:b w:val="0"/>
          <w:bCs/>
          <w:noProof/>
        </w:rPr>
        <w:t>[17]</w:t>
      </w:r>
      <w:r>
        <w:rPr>
          <w:b w:val="0"/>
          <w:bCs/>
        </w:rPr>
        <w:fldChar w:fldCharType="end"/>
      </w:r>
      <w:r w:rsidRPr="00DA4B04">
        <w:rPr>
          <w:b w:val="0"/>
          <w:bCs/>
        </w:rPr>
        <w:t xml:space="preserve"> The error distributions were compared by means of a t-test with sample overlap adjustment</w:t>
      </w:r>
      <w:r>
        <w:rPr>
          <w:b w:val="0"/>
          <w:bCs/>
        </w:rPr>
        <w:t>.</w:t>
      </w:r>
      <w:r>
        <w:rPr>
          <w:b w:val="0"/>
          <w:bCs/>
        </w:rPr>
        <w:fldChar w:fldCharType="begin" w:fldLock="1"/>
      </w:r>
      <w:r w:rsidR="00970C73">
        <w:rPr>
          <w:b w:val="0"/>
          <w:bCs/>
        </w:rPr>
        <w:instrText>ADDIN CSL_CITATION {"citationItems":[{"id":"ITEM-1","itemData":{"abstract":"In order to to compare learning algorithms, experimental results reported in the machine learning litterature often use statistical tests of significance. Unfortunately, most of these tests do not take into account the variability due to the choice of training set. We perform a theoretical investigation of the variance of the cross-validation estimate of the generalization error that takes into account the variability due to the choice of training sets. This allows us to propose two new ways to estimate this variance. We show, via simulations, that these new statistics perform well relative to the statistics considered by Dietterich (Dietterich, 1998).","author":[{"dropping-particle":"","family":"Nadeau","given":"Claude","non-dropping-particle":"","parse-names":false,"suffix":""},{"dropping-particle":"","family":"Bengio","given":"Yoshua","non-dropping-particle":"","parse-names":false,"suffix":""}],"id":"ITEM-1","issued":{"date-parts":[["0"]]},"title":"Inference for the Generalization Error","type":"report"},"uris":["http://www.mendeley.com/documents/?uuid=eb288946-2ddd-3107-bc15-9d952c404fd4"]}],"mendeley":{"formattedCitation":"[40]","plainTextFormattedCitation":"[40]","previouslyFormattedCitation":"[40]"},"properties":{"noteIndex":0},"schema":"https://github.com/citation-style-language/schema/raw/master/csl-citation.json"}</w:instrText>
      </w:r>
      <w:r>
        <w:rPr>
          <w:b w:val="0"/>
          <w:bCs/>
        </w:rPr>
        <w:fldChar w:fldCharType="separate"/>
      </w:r>
      <w:r w:rsidRPr="00675A68">
        <w:rPr>
          <w:b w:val="0"/>
          <w:bCs/>
          <w:noProof/>
        </w:rPr>
        <w:t>[40]</w:t>
      </w:r>
      <w:r>
        <w:rPr>
          <w:b w:val="0"/>
          <w:bCs/>
        </w:rPr>
        <w:fldChar w:fldCharType="end"/>
      </w:r>
    </w:p>
    <w:p w14:paraId="24A9CA3B" w14:textId="77777777" w:rsidR="0082723B" w:rsidRDefault="0082723B" w:rsidP="00ED147C">
      <w:pPr>
        <w:pStyle w:val="AMIAHeading"/>
        <w:spacing w:line="480" w:lineRule="auto"/>
        <w:jc w:val="left"/>
        <w:rPr>
          <w:b w:val="0"/>
          <w:bCs/>
        </w:rPr>
      </w:pPr>
    </w:p>
    <w:p w14:paraId="7B69A644" w14:textId="77777777" w:rsidR="00CF1CD4" w:rsidRDefault="003C1055" w:rsidP="00CF1CD4">
      <w:pPr>
        <w:pStyle w:val="AMIAHeading"/>
        <w:spacing w:line="480" w:lineRule="auto"/>
        <w:jc w:val="left"/>
        <w:rPr>
          <w:b w:val="0"/>
          <w:bCs/>
        </w:rPr>
      </w:pPr>
      <w:r>
        <w:rPr>
          <w:noProof/>
        </w:rPr>
        <w:drawing>
          <wp:inline distT="0" distB="0" distL="0" distR="0" wp14:anchorId="4A5B82AC" wp14:editId="4ECE86F0">
            <wp:extent cx="4965032" cy="3836760"/>
            <wp:effectExtent l="0" t="0" r="127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text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9739" cy="3855852"/>
                    </a:xfrm>
                    <a:prstGeom prst="rect">
                      <a:avLst/>
                    </a:prstGeom>
                  </pic:spPr>
                </pic:pic>
              </a:graphicData>
            </a:graphic>
          </wp:inline>
        </w:drawing>
      </w:r>
    </w:p>
    <w:p w14:paraId="469BA076" w14:textId="5425E601" w:rsidR="00CF1CD4" w:rsidRDefault="00CF1CD4" w:rsidP="00CF1CD4">
      <w:pPr>
        <w:pStyle w:val="AMIAHeading"/>
        <w:spacing w:line="480" w:lineRule="auto"/>
        <w:jc w:val="left"/>
        <w:rPr>
          <w:b w:val="0"/>
          <w:bCs/>
          <w:sz w:val="15"/>
          <w:szCs w:val="15"/>
        </w:rPr>
      </w:pPr>
      <w:r>
        <w:rPr>
          <w:b w:val="0"/>
          <w:bCs/>
          <w:sz w:val="15"/>
          <w:szCs w:val="15"/>
        </w:rPr>
        <w:t xml:space="preserve">Figure </w:t>
      </w:r>
      <w:bookmarkStart w:id="6" w:name="Figure3"/>
      <w:r>
        <w:rPr>
          <w:b w:val="0"/>
          <w:bCs/>
          <w:sz w:val="15"/>
          <w:szCs w:val="15"/>
        </w:rPr>
        <w:t>3</w:t>
      </w:r>
      <w:bookmarkEnd w:id="6"/>
      <w:r>
        <w:rPr>
          <w:b w:val="0"/>
          <w:bCs/>
          <w:sz w:val="15"/>
          <w:szCs w:val="15"/>
        </w:rPr>
        <w:t xml:space="preserve">: </w:t>
      </w:r>
      <w:r w:rsidRPr="00CF1CD4">
        <w:rPr>
          <w:b w:val="0"/>
          <w:bCs/>
          <w:sz w:val="15"/>
          <w:szCs w:val="15"/>
        </w:rPr>
        <w:t>Histograms and quantile-quantile plots of the propensity score distributions (stratified by treatment group) for the DPN-SA, DCN-PD, and LASSO.</w:t>
      </w:r>
    </w:p>
    <w:tbl>
      <w:tblPr>
        <w:tblStyle w:val="TableGrid"/>
        <w:tblW w:w="0" w:type="auto"/>
        <w:tblLook w:val="04A0" w:firstRow="1" w:lastRow="0" w:firstColumn="1" w:lastColumn="0" w:noHBand="0" w:noVBand="1"/>
      </w:tblPr>
      <w:tblGrid>
        <w:gridCol w:w="972"/>
        <w:gridCol w:w="1239"/>
        <w:gridCol w:w="3364"/>
        <w:gridCol w:w="1170"/>
        <w:gridCol w:w="1125"/>
        <w:gridCol w:w="1480"/>
      </w:tblGrid>
      <w:tr w:rsidR="00315254" w:rsidRPr="000C6BB8" w14:paraId="017A684F" w14:textId="77777777" w:rsidTr="00552B8B">
        <w:tc>
          <w:tcPr>
            <w:tcW w:w="972" w:type="dxa"/>
          </w:tcPr>
          <w:p w14:paraId="04DAD044" w14:textId="0651DE82" w:rsidR="00C47EE2" w:rsidRPr="000C6BB8" w:rsidRDefault="000C6BB8" w:rsidP="00CA5D19">
            <w:pPr>
              <w:rPr>
                <w:sz w:val="20"/>
                <w:szCs w:val="20"/>
              </w:rPr>
            </w:pPr>
            <w:r w:rsidRPr="000C6BB8">
              <w:rPr>
                <w:sz w:val="20"/>
                <w:szCs w:val="20"/>
              </w:rPr>
              <w:lastRenderedPageBreak/>
              <w:t>Dataset</w:t>
            </w:r>
          </w:p>
        </w:tc>
        <w:tc>
          <w:tcPr>
            <w:tcW w:w="1239" w:type="dxa"/>
          </w:tcPr>
          <w:p w14:paraId="59747ED1" w14:textId="78A91E43" w:rsidR="00C47EE2" w:rsidRPr="000C6BB8" w:rsidRDefault="000C6BB8" w:rsidP="00CA5D19">
            <w:pPr>
              <w:rPr>
                <w:sz w:val="20"/>
                <w:szCs w:val="20"/>
              </w:rPr>
            </w:pPr>
            <w:r>
              <w:rPr>
                <w:sz w:val="20"/>
                <w:szCs w:val="20"/>
              </w:rPr>
              <w:t># Covariates</w:t>
            </w:r>
          </w:p>
        </w:tc>
        <w:tc>
          <w:tcPr>
            <w:tcW w:w="3364" w:type="dxa"/>
          </w:tcPr>
          <w:p w14:paraId="65320804" w14:textId="583592E1" w:rsidR="00C47EE2" w:rsidRPr="000C6BB8" w:rsidRDefault="000C6BB8" w:rsidP="000C6BB8">
            <w:pPr>
              <w:jc w:val="center"/>
              <w:rPr>
                <w:sz w:val="20"/>
                <w:szCs w:val="20"/>
              </w:rPr>
            </w:pPr>
            <w:r w:rsidRPr="000C6BB8">
              <w:rPr>
                <w:sz w:val="20"/>
                <w:szCs w:val="20"/>
              </w:rPr>
              <w:t>Model</w:t>
            </w:r>
          </w:p>
        </w:tc>
        <w:tc>
          <w:tcPr>
            <w:tcW w:w="1170" w:type="dxa"/>
          </w:tcPr>
          <w:p w14:paraId="4B6A7777" w14:textId="4AA35782" w:rsidR="00C47EE2" w:rsidRPr="000C6BB8" w:rsidRDefault="007C7ACF" w:rsidP="00CA5D19">
            <w:pPr>
              <w:rPr>
                <w:sz w:val="20"/>
                <w:szCs w:val="20"/>
              </w:rPr>
            </w:pPr>
            <w:r w:rsidRPr="007C7ACF">
              <w:rPr>
                <w:sz w:val="20"/>
                <w:szCs w:val="20"/>
              </w:rPr>
              <w:t>MSE (SD)</w:t>
            </w:r>
          </w:p>
        </w:tc>
        <w:tc>
          <w:tcPr>
            <w:tcW w:w="1125" w:type="dxa"/>
            <w:vAlign w:val="center"/>
          </w:tcPr>
          <w:p w14:paraId="4E75ED4A" w14:textId="21AFDFD7" w:rsidR="00C47EE2" w:rsidRPr="000C6BB8" w:rsidRDefault="00EA64F5" w:rsidP="00175E8B">
            <w:pPr>
              <w:jc w:val="center"/>
              <w:rPr>
                <w:sz w:val="20"/>
                <w:szCs w:val="20"/>
              </w:rPr>
            </w:pPr>
            <w:proofErr w:type="spellStart"/>
            <w:r w:rsidRPr="00EA64F5">
              <w:rPr>
                <w:sz w:val="20"/>
                <w:szCs w:val="20"/>
              </w:rPr>
              <w:t>Bengio's</w:t>
            </w:r>
            <w:proofErr w:type="spellEnd"/>
            <w:r w:rsidRPr="00EA64F5">
              <w:rPr>
                <w:sz w:val="20"/>
                <w:szCs w:val="20"/>
              </w:rPr>
              <w:t xml:space="preserve"> p-value</w:t>
            </w:r>
          </w:p>
        </w:tc>
        <w:tc>
          <w:tcPr>
            <w:tcW w:w="1480" w:type="dxa"/>
          </w:tcPr>
          <w:p w14:paraId="1D1D20A7" w14:textId="445AB261" w:rsidR="00C47EE2" w:rsidRPr="000C6BB8" w:rsidRDefault="006346DB" w:rsidP="006346DB">
            <w:pPr>
              <w:jc w:val="center"/>
              <w:rPr>
                <w:sz w:val="20"/>
                <w:szCs w:val="20"/>
              </w:rPr>
            </w:pPr>
            <w:r w:rsidRPr="006346DB">
              <w:rPr>
                <w:sz w:val="20"/>
                <w:szCs w:val="20"/>
              </w:rPr>
              <w:t>Raw p-value</w:t>
            </w:r>
          </w:p>
        </w:tc>
      </w:tr>
      <w:tr w:rsidR="00860B7A" w:rsidRPr="000C6BB8" w14:paraId="0944C942" w14:textId="77777777" w:rsidTr="00552B8B">
        <w:tc>
          <w:tcPr>
            <w:tcW w:w="972" w:type="dxa"/>
            <w:vMerge w:val="restart"/>
            <w:vAlign w:val="center"/>
          </w:tcPr>
          <w:p w14:paraId="500056AC" w14:textId="6E84010E" w:rsidR="00860B7A" w:rsidRPr="000C6BB8" w:rsidRDefault="00860B7A" w:rsidP="00860B7A">
            <w:pPr>
              <w:rPr>
                <w:sz w:val="20"/>
                <w:szCs w:val="20"/>
              </w:rPr>
            </w:pPr>
            <w:r w:rsidRPr="00505CF1">
              <w:rPr>
                <w:sz w:val="20"/>
                <w:szCs w:val="20"/>
              </w:rPr>
              <w:t>Real</w:t>
            </w:r>
          </w:p>
        </w:tc>
        <w:tc>
          <w:tcPr>
            <w:tcW w:w="1239" w:type="dxa"/>
            <w:vMerge w:val="restart"/>
            <w:vAlign w:val="center"/>
          </w:tcPr>
          <w:p w14:paraId="3809D243" w14:textId="1E0BE9A1" w:rsidR="00860B7A" w:rsidRPr="000C6BB8" w:rsidRDefault="00860B7A" w:rsidP="00860B7A">
            <w:pPr>
              <w:jc w:val="center"/>
              <w:rPr>
                <w:sz w:val="20"/>
                <w:szCs w:val="20"/>
              </w:rPr>
            </w:pPr>
            <w:r w:rsidRPr="0087210C">
              <w:rPr>
                <w:sz w:val="20"/>
                <w:szCs w:val="20"/>
              </w:rPr>
              <w:t>25</w:t>
            </w:r>
          </w:p>
        </w:tc>
        <w:tc>
          <w:tcPr>
            <w:tcW w:w="3364" w:type="dxa"/>
          </w:tcPr>
          <w:p w14:paraId="6BD4281B" w14:textId="4C5494B9" w:rsidR="00860B7A" w:rsidRPr="00A24E8C" w:rsidRDefault="00860B7A" w:rsidP="00CA5D19">
            <w:pPr>
              <w:rPr>
                <w:b/>
                <w:bCs/>
                <w:sz w:val="20"/>
                <w:szCs w:val="20"/>
              </w:rPr>
            </w:pPr>
            <w:r w:rsidRPr="00A24E8C">
              <w:rPr>
                <w:b/>
                <w:bCs/>
                <w:sz w:val="20"/>
                <w:szCs w:val="20"/>
              </w:rPr>
              <w:t>DPN-SA (25-20-10-) end-to-end</w:t>
            </w:r>
          </w:p>
        </w:tc>
        <w:tc>
          <w:tcPr>
            <w:tcW w:w="1170" w:type="dxa"/>
          </w:tcPr>
          <w:p w14:paraId="451396DC" w14:textId="3F6A133F" w:rsidR="00860B7A" w:rsidRPr="00A24E8C" w:rsidRDefault="00A24E8C" w:rsidP="00CA5D19">
            <w:pPr>
              <w:rPr>
                <w:b/>
                <w:bCs/>
                <w:sz w:val="20"/>
                <w:szCs w:val="20"/>
              </w:rPr>
            </w:pPr>
            <w:r w:rsidRPr="00A24E8C">
              <w:rPr>
                <w:b/>
                <w:bCs/>
                <w:sz w:val="20"/>
                <w:szCs w:val="20"/>
              </w:rPr>
              <w:t>2.09 (0.22)</w:t>
            </w:r>
          </w:p>
        </w:tc>
        <w:tc>
          <w:tcPr>
            <w:tcW w:w="1125" w:type="dxa"/>
            <w:vAlign w:val="center"/>
          </w:tcPr>
          <w:p w14:paraId="1B8F43ED" w14:textId="074317AB" w:rsidR="00860B7A" w:rsidRPr="000C6BB8" w:rsidRDefault="00113E52" w:rsidP="00113E52">
            <w:pPr>
              <w:jc w:val="center"/>
              <w:rPr>
                <w:sz w:val="20"/>
                <w:szCs w:val="20"/>
              </w:rPr>
            </w:pPr>
            <w:r>
              <w:rPr>
                <w:sz w:val="20"/>
                <w:szCs w:val="20"/>
              </w:rPr>
              <w:t>Ref.</w:t>
            </w:r>
          </w:p>
        </w:tc>
        <w:tc>
          <w:tcPr>
            <w:tcW w:w="1480" w:type="dxa"/>
            <w:vAlign w:val="center"/>
          </w:tcPr>
          <w:p w14:paraId="622D91F2" w14:textId="18174ECF" w:rsidR="00860B7A" w:rsidRPr="000C6BB8" w:rsidRDefault="00113E52" w:rsidP="00113E52">
            <w:pPr>
              <w:jc w:val="center"/>
              <w:rPr>
                <w:sz w:val="20"/>
                <w:szCs w:val="20"/>
              </w:rPr>
            </w:pPr>
            <w:r>
              <w:rPr>
                <w:sz w:val="20"/>
                <w:szCs w:val="20"/>
              </w:rPr>
              <w:t>Ref</w:t>
            </w:r>
            <w:r w:rsidR="007D442B">
              <w:rPr>
                <w:sz w:val="20"/>
                <w:szCs w:val="20"/>
              </w:rPr>
              <w:t>.</w:t>
            </w:r>
          </w:p>
        </w:tc>
      </w:tr>
      <w:tr w:rsidR="00860B7A" w:rsidRPr="000C6BB8" w14:paraId="436CDBC7" w14:textId="77777777" w:rsidTr="00552B8B">
        <w:tc>
          <w:tcPr>
            <w:tcW w:w="972" w:type="dxa"/>
            <w:vMerge/>
          </w:tcPr>
          <w:p w14:paraId="2EE9A25F" w14:textId="77777777" w:rsidR="00860B7A" w:rsidRPr="000C6BB8" w:rsidRDefault="00860B7A" w:rsidP="00CA5D19">
            <w:pPr>
              <w:rPr>
                <w:sz w:val="20"/>
                <w:szCs w:val="20"/>
              </w:rPr>
            </w:pPr>
          </w:p>
        </w:tc>
        <w:tc>
          <w:tcPr>
            <w:tcW w:w="1239" w:type="dxa"/>
            <w:vMerge/>
          </w:tcPr>
          <w:p w14:paraId="5406F598" w14:textId="77777777" w:rsidR="00860B7A" w:rsidRPr="000C6BB8" w:rsidRDefault="00860B7A" w:rsidP="00CA5D19">
            <w:pPr>
              <w:rPr>
                <w:sz w:val="20"/>
                <w:szCs w:val="20"/>
              </w:rPr>
            </w:pPr>
          </w:p>
        </w:tc>
        <w:tc>
          <w:tcPr>
            <w:tcW w:w="3364" w:type="dxa"/>
          </w:tcPr>
          <w:p w14:paraId="2A08B551" w14:textId="48966B2A" w:rsidR="00860B7A" w:rsidRPr="000C6BB8" w:rsidRDefault="00860B7A" w:rsidP="00CA5D19">
            <w:pPr>
              <w:rPr>
                <w:sz w:val="20"/>
                <w:szCs w:val="20"/>
              </w:rPr>
            </w:pPr>
            <w:r w:rsidRPr="00C96663">
              <w:rPr>
                <w:sz w:val="20"/>
                <w:szCs w:val="20"/>
              </w:rPr>
              <w:t>DPN-SA (25-20-10-) greedy st.</w:t>
            </w:r>
          </w:p>
        </w:tc>
        <w:tc>
          <w:tcPr>
            <w:tcW w:w="1170" w:type="dxa"/>
          </w:tcPr>
          <w:p w14:paraId="2B20A9E3" w14:textId="0B0CCF36" w:rsidR="00860B7A" w:rsidRPr="000C6BB8" w:rsidRDefault="00393280" w:rsidP="00CA5D19">
            <w:pPr>
              <w:rPr>
                <w:sz w:val="20"/>
                <w:szCs w:val="20"/>
              </w:rPr>
            </w:pPr>
            <w:r w:rsidRPr="00393280">
              <w:rPr>
                <w:sz w:val="20"/>
                <w:szCs w:val="20"/>
              </w:rPr>
              <w:t>2.1 (0.2)</w:t>
            </w:r>
          </w:p>
        </w:tc>
        <w:tc>
          <w:tcPr>
            <w:tcW w:w="1125" w:type="dxa"/>
            <w:vAlign w:val="center"/>
          </w:tcPr>
          <w:p w14:paraId="1F222B8E" w14:textId="17A0ABE7" w:rsidR="00860B7A" w:rsidRPr="000C6BB8" w:rsidRDefault="003F0F5C" w:rsidP="00113E52">
            <w:pPr>
              <w:jc w:val="center"/>
              <w:rPr>
                <w:sz w:val="20"/>
                <w:szCs w:val="20"/>
              </w:rPr>
            </w:pPr>
            <w:r w:rsidRPr="003F0F5C">
              <w:rPr>
                <w:sz w:val="20"/>
                <w:szCs w:val="20"/>
              </w:rPr>
              <w:t>0.396</w:t>
            </w:r>
          </w:p>
        </w:tc>
        <w:tc>
          <w:tcPr>
            <w:tcW w:w="1480" w:type="dxa"/>
            <w:vAlign w:val="center"/>
          </w:tcPr>
          <w:p w14:paraId="7CEDA200" w14:textId="2D89938A" w:rsidR="00860B7A" w:rsidRPr="000C6BB8" w:rsidRDefault="00DE48DD" w:rsidP="00113E52">
            <w:pPr>
              <w:jc w:val="center"/>
              <w:rPr>
                <w:sz w:val="20"/>
                <w:szCs w:val="20"/>
              </w:rPr>
            </w:pPr>
            <w:r w:rsidRPr="00DE48DD">
              <w:rPr>
                <w:sz w:val="20"/>
                <w:szCs w:val="20"/>
              </w:rPr>
              <w:t>0.599</w:t>
            </w:r>
          </w:p>
        </w:tc>
      </w:tr>
      <w:tr w:rsidR="00860B7A" w:rsidRPr="000C6BB8" w14:paraId="12C99F43" w14:textId="77777777" w:rsidTr="00552B8B">
        <w:tc>
          <w:tcPr>
            <w:tcW w:w="972" w:type="dxa"/>
            <w:vMerge/>
          </w:tcPr>
          <w:p w14:paraId="42382BD9" w14:textId="77777777" w:rsidR="00860B7A" w:rsidRPr="000C6BB8" w:rsidRDefault="00860B7A" w:rsidP="00CA5D19">
            <w:pPr>
              <w:rPr>
                <w:sz w:val="20"/>
                <w:szCs w:val="20"/>
              </w:rPr>
            </w:pPr>
          </w:p>
        </w:tc>
        <w:tc>
          <w:tcPr>
            <w:tcW w:w="1239" w:type="dxa"/>
            <w:vMerge/>
          </w:tcPr>
          <w:p w14:paraId="7FF6F367" w14:textId="77777777" w:rsidR="00860B7A" w:rsidRPr="000C6BB8" w:rsidRDefault="00860B7A" w:rsidP="00CA5D19">
            <w:pPr>
              <w:rPr>
                <w:sz w:val="20"/>
                <w:szCs w:val="20"/>
              </w:rPr>
            </w:pPr>
          </w:p>
        </w:tc>
        <w:tc>
          <w:tcPr>
            <w:tcW w:w="3364" w:type="dxa"/>
          </w:tcPr>
          <w:p w14:paraId="3FE4B2E0" w14:textId="08FE05F3" w:rsidR="00860B7A" w:rsidRPr="000C6BB8" w:rsidRDefault="00860B7A" w:rsidP="00CA5D19">
            <w:pPr>
              <w:rPr>
                <w:sz w:val="20"/>
                <w:szCs w:val="20"/>
              </w:rPr>
            </w:pPr>
            <w:r w:rsidRPr="005C54FF">
              <w:rPr>
                <w:sz w:val="20"/>
                <w:szCs w:val="20"/>
              </w:rPr>
              <w:t>DPN-SA (25-20-10-) greedy st. curr.</w:t>
            </w:r>
          </w:p>
        </w:tc>
        <w:tc>
          <w:tcPr>
            <w:tcW w:w="1170" w:type="dxa"/>
          </w:tcPr>
          <w:p w14:paraId="43AF09FA" w14:textId="3119B4DB" w:rsidR="00860B7A" w:rsidRPr="000C6BB8" w:rsidRDefault="004E0953" w:rsidP="00CA5D19">
            <w:pPr>
              <w:rPr>
                <w:sz w:val="20"/>
                <w:szCs w:val="20"/>
              </w:rPr>
            </w:pPr>
            <w:r w:rsidRPr="004E0953">
              <w:rPr>
                <w:sz w:val="20"/>
                <w:szCs w:val="20"/>
              </w:rPr>
              <w:t>2.11 (0.2)</w:t>
            </w:r>
          </w:p>
        </w:tc>
        <w:tc>
          <w:tcPr>
            <w:tcW w:w="1125" w:type="dxa"/>
            <w:vAlign w:val="center"/>
          </w:tcPr>
          <w:p w14:paraId="2D1E840D" w14:textId="6FBBC47E" w:rsidR="00860B7A" w:rsidRPr="000C6BB8" w:rsidRDefault="00492C4D" w:rsidP="00113E52">
            <w:pPr>
              <w:jc w:val="center"/>
              <w:rPr>
                <w:sz w:val="20"/>
                <w:szCs w:val="20"/>
              </w:rPr>
            </w:pPr>
            <w:r w:rsidRPr="00492C4D">
              <w:rPr>
                <w:sz w:val="20"/>
                <w:szCs w:val="20"/>
              </w:rPr>
              <w:t>0.391</w:t>
            </w:r>
          </w:p>
        </w:tc>
        <w:tc>
          <w:tcPr>
            <w:tcW w:w="1480" w:type="dxa"/>
            <w:vAlign w:val="center"/>
          </w:tcPr>
          <w:p w14:paraId="06BCC476" w14:textId="1EF3B35A" w:rsidR="00860B7A" w:rsidRPr="000C6BB8" w:rsidRDefault="00721B11" w:rsidP="00113E52">
            <w:pPr>
              <w:jc w:val="center"/>
              <w:rPr>
                <w:sz w:val="20"/>
                <w:szCs w:val="20"/>
              </w:rPr>
            </w:pPr>
            <w:r w:rsidRPr="00721B11">
              <w:rPr>
                <w:sz w:val="20"/>
                <w:szCs w:val="20"/>
              </w:rPr>
              <w:t>0.350</w:t>
            </w:r>
          </w:p>
        </w:tc>
      </w:tr>
      <w:tr w:rsidR="00860B7A" w:rsidRPr="000C6BB8" w14:paraId="42280C79" w14:textId="77777777" w:rsidTr="00552B8B">
        <w:tc>
          <w:tcPr>
            <w:tcW w:w="972" w:type="dxa"/>
            <w:vMerge/>
          </w:tcPr>
          <w:p w14:paraId="5BEF9040" w14:textId="77777777" w:rsidR="00860B7A" w:rsidRPr="000C6BB8" w:rsidRDefault="00860B7A" w:rsidP="00CA5D19">
            <w:pPr>
              <w:rPr>
                <w:sz w:val="20"/>
                <w:szCs w:val="20"/>
              </w:rPr>
            </w:pPr>
          </w:p>
        </w:tc>
        <w:tc>
          <w:tcPr>
            <w:tcW w:w="1239" w:type="dxa"/>
            <w:vMerge/>
          </w:tcPr>
          <w:p w14:paraId="107DC8F6" w14:textId="77777777" w:rsidR="00860B7A" w:rsidRPr="000C6BB8" w:rsidRDefault="00860B7A" w:rsidP="00CA5D19">
            <w:pPr>
              <w:rPr>
                <w:sz w:val="20"/>
                <w:szCs w:val="20"/>
              </w:rPr>
            </w:pPr>
          </w:p>
        </w:tc>
        <w:tc>
          <w:tcPr>
            <w:tcW w:w="3364" w:type="dxa"/>
          </w:tcPr>
          <w:p w14:paraId="44933373" w14:textId="45713FF4" w:rsidR="00860B7A" w:rsidRPr="000C6BB8" w:rsidRDefault="00860B7A" w:rsidP="00CA5D19">
            <w:pPr>
              <w:rPr>
                <w:sz w:val="20"/>
                <w:szCs w:val="20"/>
              </w:rPr>
            </w:pPr>
            <w:r w:rsidRPr="00ED62F7">
              <w:rPr>
                <w:sz w:val="20"/>
                <w:szCs w:val="20"/>
              </w:rPr>
              <w:t>DPN-SA (25-10-)</w:t>
            </w:r>
          </w:p>
        </w:tc>
        <w:tc>
          <w:tcPr>
            <w:tcW w:w="1170" w:type="dxa"/>
          </w:tcPr>
          <w:p w14:paraId="5E299173" w14:textId="06AE5EB5" w:rsidR="00860B7A" w:rsidRPr="000C6BB8" w:rsidRDefault="00C0262D" w:rsidP="00CA5D19">
            <w:pPr>
              <w:rPr>
                <w:sz w:val="20"/>
                <w:szCs w:val="20"/>
              </w:rPr>
            </w:pPr>
            <w:r w:rsidRPr="00C0262D">
              <w:rPr>
                <w:sz w:val="20"/>
                <w:szCs w:val="20"/>
              </w:rPr>
              <w:t>2.14 (0.22)</w:t>
            </w:r>
          </w:p>
        </w:tc>
        <w:tc>
          <w:tcPr>
            <w:tcW w:w="1125" w:type="dxa"/>
            <w:vAlign w:val="center"/>
          </w:tcPr>
          <w:p w14:paraId="7BBDDE56" w14:textId="6355B2F5" w:rsidR="00860B7A" w:rsidRPr="000C6BB8" w:rsidRDefault="00C37F2E" w:rsidP="00113E52">
            <w:pPr>
              <w:jc w:val="center"/>
              <w:rPr>
                <w:sz w:val="20"/>
                <w:szCs w:val="20"/>
              </w:rPr>
            </w:pPr>
            <w:r w:rsidRPr="00C37F2E">
              <w:rPr>
                <w:sz w:val="20"/>
                <w:szCs w:val="20"/>
              </w:rPr>
              <w:t>0.374</w:t>
            </w:r>
          </w:p>
        </w:tc>
        <w:tc>
          <w:tcPr>
            <w:tcW w:w="1480" w:type="dxa"/>
            <w:vAlign w:val="center"/>
          </w:tcPr>
          <w:p w14:paraId="3E078938" w14:textId="1747BE87" w:rsidR="00860B7A" w:rsidRPr="000C6BB8" w:rsidRDefault="0048143D" w:rsidP="00113E52">
            <w:pPr>
              <w:jc w:val="center"/>
              <w:rPr>
                <w:sz w:val="20"/>
                <w:szCs w:val="20"/>
              </w:rPr>
            </w:pPr>
            <w:r w:rsidRPr="0048143D">
              <w:rPr>
                <w:sz w:val="20"/>
                <w:szCs w:val="20"/>
              </w:rPr>
              <w:t>0.078</w:t>
            </w:r>
          </w:p>
        </w:tc>
      </w:tr>
      <w:tr w:rsidR="00860B7A" w:rsidRPr="000C6BB8" w14:paraId="1A4BB3BB" w14:textId="77777777" w:rsidTr="00552B8B">
        <w:tc>
          <w:tcPr>
            <w:tcW w:w="972" w:type="dxa"/>
            <w:vMerge/>
          </w:tcPr>
          <w:p w14:paraId="157363B6" w14:textId="77777777" w:rsidR="00860B7A" w:rsidRPr="000C6BB8" w:rsidRDefault="00860B7A" w:rsidP="00CA5D19">
            <w:pPr>
              <w:rPr>
                <w:sz w:val="20"/>
                <w:szCs w:val="20"/>
              </w:rPr>
            </w:pPr>
          </w:p>
        </w:tc>
        <w:tc>
          <w:tcPr>
            <w:tcW w:w="1239" w:type="dxa"/>
            <w:vMerge/>
          </w:tcPr>
          <w:p w14:paraId="06C50A39" w14:textId="77777777" w:rsidR="00860B7A" w:rsidRPr="000C6BB8" w:rsidRDefault="00860B7A" w:rsidP="00CA5D19">
            <w:pPr>
              <w:rPr>
                <w:sz w:val="20"/>
                <w:szCs w:val="20"/>
              </w:rPr>
            </w:pPr>
          </w:p>
        </w:tc>
        <w:tc>
          <w:tcPr>
            <w:tcW w:w="3364" w:type="dxa"/>
          </w:tcPr>
          <w:p w14:paraId="5025DCA9" w14:textId="278EE442" w:rsidR="00860B7A" w:rsidRPr="000C6BB8" w:rsidRDefault="00860B7A" w:rsidP="00CA5D19">
            <w:pPr>
              <w:rPr>
                <w:sz w:val="20"/>
                <w:szCs w:val="20"/>
              </w:rPr>
            </w:pPr>
            <w:r w:rsidRPr="00D02F13">
              <w:rPr>
                <w:sz w:val="20"/>
                <w:szCs w:val="20"/>
              </w:rPr>
              <w:t>DPN-SA (25-1-)</w:t>
            </w:r>
          </w:p>
        </w:tc>
        <w:tc>
          <w:tcPr>
            <w:tcW w:w="1170" w:type="dxa"/>
          </w:tcPr>
          <w:p w14:paraId="578F22D3" w14:textId="17209D61" w:rsidR="00860B7A" w:rsidRPr="000C6BB8" w:rsidRDefault="005C321B" w:rsidP="00CA5D19">
            <w:pPr>
              <w:rPr>
                <w:sz w:val="20"/>
                <w:szCs w:val="20"/>
              </w:rPr>
            </w:pPr>
            <w:r w:rsidRPr="005C321B">
              <w:rPr>
                <w:sz w:val="20"/>
                <w:szCs w:val="20"/>
              </w:rPr>
              <w:t>2.52 (0.37)</w:t>
            </w:r>
          </w:p>
        </w:tc>
        <w:tc>
          <w:tcPr>
            <w:tcW w:w="1125" w:type="dxa"/>
            <w:vAlign w:val="center"/>
          </w:tcPr>
          <w:p w14:paraId="2937D3EB" w14:textId="34465EE7" w:rsidR="00860B7A" w:rsidRPr="000C6BB8" w:rsidRDefault="00A560A2" w:rsidP="00113E52">
            <w:pPr>
              <w:jc w:val="center"/>
              <w:rPr>
                <w:sz w:val="20"/>
                <w:szCs w:val="20"/>
              </w:rPr>
            </w:pPr>
            <w:r w:rsidRPr="00A560A2">
              <w:rPr>
                <w:sz w:val="20"/>
                <w:szCs w:val="20"/>
              </w:rPr>
              <w:t>0.061</w:t>
            </w:r>
          </w:p>
        </w:tc>
        <w:tc>
          <w:tcPr>
            <w:tcW w:w="1480" w:type="dxa"/>
            <w:vAlign w:val="center"/>
          </w:tcPr>
          <w:p w14:paraId="5DC99AFD" w14:textId="7E1C0863" w:rsidR="00860B7A" w:rsidRPr="000C6BB8" w:rsidRDefault="006F27E2" w:rsidP="00113E52">
            <w:pPr>
              <w:jc w:val="center"/>
              <w:rPr>
                <w:sz w:val="20"/>
                <w:szCs w:val="20"/>
              </w:rPr>
            </w:pPr>
            <w:r w:rsidRPr="006F27E2">
              <w:rPr>
                <w:sz w:val="20"/>
                <w:szCs w:val="20"/>
              </w:rPr>
              <w:t>1.69e-16</w:t>
            </w:r>
          </w:p>
        </w:tc>
      </w:tr>
      <w:tr w:rsidR="00860B7A" w:rsidRPr="000C6BB8" w14:paraId="1497F92E" w14:textId="77777777" w:rsidTr="00552B8B">
        <w:tc>
          <w:tcPr>
            <w:tcW w:w="972" w:type="dxa"/>
            <w:vMerge/>
          </w:tcPr>
          <w:p w14:paraId="653ABBE9" w14:textId="77777777" w:rsidR="00860B7A" w:rsidRPr="000C6BB8" w:rsidRDefault="00860B7A" w:rsidP="00CA5D19">
            <w:pPr>
              <w:rPr>
                <w:sz w:val="20"/>
                <w:szCs w:val="20"/>
              </w:rPr>
            </w:pPr>
          </w:p>
        </w:tc>
        <w:tc>
          <w:tcPr>
            <w:tcW w:w="1239" w:type="dxa"/>
            <w:vMerge/>
          </w:tcPr>
          <w:p w14:paraId="1947D594" w14:textId="77777777" w:rsidR="00860B7A" w:rsidRPr="000C6BB8" w:rsidRDefault="00860B7A" w:rsidP="00CA5D19">
            <w:pPr>
              <w:rPr>
                <w:sz w:val="20"/>
                <w:szCs w:val="20"/>
              </w:rPr>
            </w:pPr>
          </w:p>
        </w:tc>
        <w:tc>
          <w:tcPr>
            <w:tcW w:w="3364" w:type="dxa"/>
          </w:tcPr>
          <w:p w14:paraId="73D952DF" w14:textId="58885178" w:rsidR="00860B7A" w:rsidRPr="000C6BB8" w:rsidRDefault="00860B7A" w:rsidP="00CA5D19">
            <w:pPr>
              <w:rPr>
                <w:sz w:val="20"/>
                <w:szCs w:val="20"/>
              </w:rPr>
            </w:pPr>
            <w:r w:rsidRPr="005D7737">
              <w:rPr>
                <w:sz w:val="20"/>
                <w:szCs w:val="20"/>
              </w:rPr>
              <w:t>DCN-PD</w:t>
            </w:r>
          </w:p>
        </w:tc>
        <w:tc>
          <w:tcPr>
            <w:tcW w:w="1170" w:type="dxa"/>
          </w:tcPr>
          <w:p w14:paraId="734D397B" w14:textId="5785E2C3" w:rsidR="00860B7A" w:rsidRPr="000C6BB8" w:rsidRDefault="001A3320" w:rsidP="00CA5D19">
            <w:pPr>
              <w:rPr>
                <w:sz w:val="20"/>
                <w:szCs w:val="20"/>
              </w:rPr>
            </w:pPr>
            <w:r w:rsidRPr="001A3320">
              <w:rPr>
                <w:sz w:val="20"/>
                <w:szCs w:val="20"/>
              </w:rPr>
              <w:t>2.22 (0.21)</w:t>
            </w:r>
          </w:p>
        </w:tc>
        <w:tc>
          <w:tcPr>
            <w:tcW w:w="1125" w:type="dxa"/>
            <w:vAlign w:val="center"/>
          </w:tcPr>
          <w:p w14:paraId="74A32947" w14:textId="30A83671" w:rsidR="00860B7A" w:rsidRPr="000C6BB8" w:rsidRDefault="00376FD4" w:rsidP="00113E52">
            <w:pPr>
              <w:jc w:val="center"/>
              <w:rPr>
                <w:sz w:val="20"/>
                <w:szCs w:val="20"/>
              </w:rPr>
            </w:pPr>
            <w:r w:rsidRPr="00376FD4">
              <w:rPr>
                <w:sz w:val="20"/>
                <w:szCs w:val="20"/>
              </w:rPr>
              <w:t>0.295</w:t>
            </w:r>
          </w:p>
        </w:tc>
        <w:tc>
          <w:tcPr>
            <w:tcW w:w="1480" w:type="dxa"/>
            <w:vAlign w:val="center"/>
          </w:tcPr>
          <w:p w14:paraId="327383E7" w14:textId="50245E38" w:rsidR="00860B7A" w:rsidRPr="000C6BB8" w:rsidRDefault="004C595E" w:rsidP="00113E52">
            <w:pPr>
              <w:jc w:val="center"/>
              <w:rPr>
                <w:sz w:val="20"/>
                <w:szCs w:val="20"/>
              </w:rPr>
            </w:pPr>
            <w:r w:rsidRPr="004C595E">
              <w:rPr>
                <w:sz w:val="20"/>
                <w:szCs w:val="20"/>
              </w:rPr>
              <w:t>1.54e-4</w:t>
            </w:r>
          </w:p>
        </w:tc>
      </w:tr>
      <w:tr w:rsidR="00860B7A" w:rsidRPr="000C6BB8" w14:paraId="178D35CC" w14:textId="77777777" w:rsidTr="00552B8B">
        <w:tc>
          <w:tcPr>
            <w:tcW w:w="972" w:type="dxa"/>
            <w:vMerge/>
          </w:tcPr>
          <w:p w14:paraId="253F1F65" w14:textId="77777777" w:rsidR="00860B7A" w:rsidRPr="000C6BB8" w:rsidRDefault="00860B7A" w:rsidP="00CA5D19">
            <w:pPr>
              <w:rPr>
                <w:sz w:val="20"/>
                <w:szCs w:val="20"/>
              </w:rPr>
            </w:pPr>
          </w:p>
        </w:tc>
        <w:tc>
          <w:tcPr>
            <w:tcW w:w="1239" w:type="dxa"/>
            <w:vMerge/>
          </w:tcPr>
          <w:p w14:paraId="01A43CB0" w14:textId="77777777" w:rsidR="00860B7A" w:rsidRPr="000C6BB8" w:rsidRDefault="00860B7A" w:rsidP="00CA5D19">
            <w:pPr>
              <w:rPr>
                <w:sz w:val="20"/>
                <w:szCs w:val="20"/>
              </w:rPr>
            </w:pPr>
          </w:p>
        </w:tc>
        <w:tc>
          <w:tcPr>
            <w:tcW w:w="3364" w:type="dxa"/>
          </w:tcPr>
          <w:p w14:paraId="14B8DAFF" w14:textId="451B6849" w:rsidR="00860B7A" w:rsidRPr="000C6BB8" w:rsidRDefault="00860B7A" w:rsidP="00CA5D19">
            <w:pPr>
              <w:rPr>
                <w:sz w:val="20"/>
                <w:szCs w:val="20"/>
              </w:rPr>
            </w:pPr>
            <w:r w:rsidRPr="006E2B24">
              <w:rPr>
                <w:sz w:val="20"/>
                <w:szCs w:val="20"/>
              </w:rPr>
              <w:t>Logistic Regression</w:t>
            </w:r>
          </w:p>
        </w:tc>
        <w:tc>
          <w:tcPr>
            <w:tcW w:w="1170" w:type="dxa"/>
          </w:tcPr>
          <w:p w14:paraId="12B61ED0" w14:textId="726CDCC9" w:rsidR="00860B7A" w:rsidRPr="000C6BB8" w:rsidRDefault="00AB7F8C" w:rsidP="00CA5D19">
            <w:pPr>
              <w:rPr>
                <w:sz w:val="20"/>
                <w:szCs w:val="20"/>
              </w:rPr>
            </w:pPr>
            <w:r w:rsidRPr="00AB7F8C">
              <w:rPr>
                <w:sz w:val="20"/>
                <w:szCs w:val="20"/>
              </w:rPr>
              <w:t>6.02 (1.19)</w:t>
            </w:r>
          </w:p>
        </w:tc>
        <w:tc>
          <w:tcPr>
            <w:tcW w:w="1125" w:type="dxa"/>
            <w:vAlign w:val="center"/>
          </w:tcPr>
          <w:p w14:paraId="6FC8DD0D" w14:textId="47B2C90A" w:rsidR="00860B7A" w:rsidRPr="000C6BB8" w:rsidRDefault="00197A0E" w:rsidP="00113E52">
            <w:pPr>
              <w:jc w:val="center"/>
              <w:rPr>
                <w:sz w:val="20"/>
                <w:szCs w:val="20"/>
              </w:rPr>
            </w:pPr>
            <w:r>
              <w:rPr>
                <w:sz w:val="20"/>
                <w:szCs w:val="20"/>
              </w:rPr>
              <w:t>0</w:t>
            </w:r>
          </w:p>
        </w:tc>
        <w:tc>
          <w:tcPr>
            <w:tcW w:w="1480" w:type="dxa"/>
            <w:vAlign w:val="center"/>
          </w:tcPr>
          <w:p w14:paraId="07D528DC" w14:textId="2ECEC39F" w:rsidR="00860B7A" w:rsidRPr="000C6BB8" w:rsidRDefault="00994E4E" w:rsidP="00113E52">
            <w:pPr>
              <w:jc w:val="center"/>
              <w:rPr>
                <w:sz w:val="20"/>
                <w:szCs w:val="20"/>
              </w:rPr>
            </w:pPr>
            <w:r w:rsidRPr="00994E4E">
              <w:rPr>
                <w:sz w:val="20"/>
                <w:szCs w:val="20"/>
              </w:rPr>
              <w:t>1.01e-55</w:t>
            </w:r>
          </w:p>
        </w:tc>
      </w:tr>
      <w:tr w:rsidR="00860B7A" w:rsidRPr="000C6BB8" w14:paraId="46577C50" w14:textId="77777777" w:rsidTr="00552B8B">
        <w:tc>
          <w:tcPr>
            <w:tcW w:w="972" w:type="dxa"/>
            <w:vMerge/>
          </w:tcPr>
          <w:p w14:paraId="1F559D97" w14:textId="77777777" w:rsidR="00860B7A" w:rsidRPr="000C6BB8" w:rsidRDefault="00860B7A" w:rsidP="00CA5D19">
            <w:pPr>
              <w:rPr>
                <w:sz w:val="20"/>
                <w:szCs w:val="20"/>
              </w:rPr>
            </w:pPr>
          </w:p>
        </w:tc>
        <w:tc>
          <w:tcPr>
            <w:tcW w:w="1239" w:type="dxa"/>
            <w:vMerge/>
          </w:tcPr>
          <w:p w14:paraId="328B7276" w14:textId="77777777" w:rsidR="00860B7A" w:rsidRPr="000C6BB8" w:rsidRDefault="00860B7A" w:rsidP="00CA5D19">
            <w:pPr>
              <w:rPr>
                <w:sz w:val="20"/>
                <w:szCs w:val="20"/>
              </w:rPr>
            </w:pPr>
          </w:p>
        </w:tc>
        <w:tc>
          <w:tcPr>
            <w:tcW w:w="3364" w:type="dxa"/>
          </w:tcPr>
          <w:p w14:paraId="2AB2F315" w14:textId="2D1CF76E" w:rsidR="00860B7A" w:rsidRPr="000C6BB8" w:rsidRDefault="00860B7A" w:rsidP="00CA5D19">
            <w:pPr>
              <w:rPr>
                <w:sz w:val="20"/>
                <w:szCs w:val="20"/>
              </w:rPr>
            </w:pPr>
            <w:r w:rsidRPr="00D22E1F">
              <w:rPr>
                <w:sz w:val="20"/>
                <w:szCs w:val="20"/>
              </w:rPr>
              <w:t>LASSO Logistic Regression</w:t>
            </w:r>
          </w:p>
        </w:tc>
        <w:tc>
          <w:tcPr>
            <w:tcW w:w="1170" w:type="dxa"/>
          </w:tcPr>
          <w:p w14:paraId="2E243AC8" w14:textId="7D3C1F10" w:rsidR="00860B7A" w:rsidRPr="000C6BB8" w:rsidRDefault="003411B8" w:rsidP="00CA5D19">
            <w:pPr>
              <w:rPr>
                <w:sz w:val="20"/>
                <w:szCs w:val="20"/>
              </w:rPr>
            </w:pPr>
            <w:r w:rsidRPr="003411B8">
              <w:rPr>
                <w:sz w:val="20"/>
                <w:szCs w:val="20"/>
              </w:rPr>
              <w:t>5.89 (1.22)</w:t>
            </w:r>
          </w:p>
        </w:tc>
        <w:tc>
          <w:tcPr>
            <w:tcW w:w="1125" w:type="dxa"/>
            <w:vAlign w:val="center"/>
          </w:tcPr>
          <w:p w14:paraId="3EEFCF71" w14:textId="30D760DF" w:rsidR="00860B7A" w:rsidRPr="000C6BB8" w:rsidRDefault="00197A0E" w:rsidP="00113E52">
            <w:pPr>
              <w:jc w:val="center"/>
              <w:rPr>
                <w:sz w:val="20"/>
                <w:szCs w:val="20"/>
              </w:rPr>
            </w:pPr>
            <w:r>
              <w:rPr>
                <w:sz w:val="20"/>
                <w:szCs w:val="20"/>
              </w:rPr>
              <w:t>0</w:t>
            </w:r>
          </w:p>
        </w:tc>
        <w:tc>
          <w:tcPr>
            <w:tcW w:w="1480" w:type="dxa"/>
            <w:vAlign w:val="center"/>
          </w:tcPr>
          <w:p w14:paraId="10F5F227" w14:textId="5D902723" w:rsidR="00860B7A" w:rsidRPr="000C6BB8" w:rsidRDefault="00FA7F1A" w:rsidP="00113E52">
            <w:pPr>
              <w:jc w:val="center"/>
              <w:rPr>
                <w:sz w:val="20"/>
                <w:szCs w:val="20"/>
              </w:rPr>
            </w:pPr>
            <w:r w:rsidRPr="00FA7F1A">
              <w:rPr>
                <w:sz w:val="20"/>
                <w:szCs w:val="20"/>
              </w:rPr>
              <w:t>6.03e-53</w:t>
            </w:r>
          </w:p>
        </w:tc>
      </w:tr>
      <w:tr w:rsidR="00315254" w:rsidRPr="000C6BB8" w14:paraId="77AA2D4C" w14:textId="77777777" w:rsidTr="00552B8B">
        <w:tc>
          <w:tcPr>
            <w:tcW w:w="972" w:type="dxa"/>
            <w:vMerge w:val="restart"/>
            <w:vAlign w:val="center"/>
          </w:tcPr>
          <w:p w14:paraId="2548E11B" w14:textId="3F972CA5" w:rsidR="00315254" w:rsidRPr="000C6BB8" w:rsidRDefault="00315254" w:rsidP="00315254">
            <w:pPr>
              <w:jc w:val="center"/>
              <w:rPr>
                <w:sz w:val="20"/>
                <w:szCs w:val="20"/>
              </w:rPr>
            </w:pPr>
            <w:r w:rsidRPr="00505CF1">
              <w:rPr>
                <w:sz w:val="20"/>
                <w:szCs w:val="20"/>
              </w:rPr>
              <w:t>Real</w:t>
            </w:r>
            <w:r>
              <w:t xml:space="preserve"> </w:t>
            </w:r>
            <w:r w:rsidRPr="005134B6">
              <w:rPr>
                <w:sz w:val="20"/>
                <w:szCs w:val="20"/>
              </w:rPr>
              <w:t>+ Synthetic</w:t>
            </w:r>
          </w:p>
        </w:tc>
        <w:tc>
          <w:tcPr>
            <w:tcW w:w="1239" w:type="dxa"/>
            <w:vMerge w:val="restart"/>
            <w:vAlign w:val="center"/>
          </w:tcPr>
          <w:p w14:paraId="77F08CB1" w14:textId="68AE3EE1" w:rsidR="00315254" w:rsidRPr="000C6BB8" w:rsidRDefault="00315254" w:rsidP="00315254">
            <w:pPr>
              <w:jc w:val="center"/>
              <w:rPr>
                <w:sz w:val="20"/>
                <w:szCs w:val="20"/>
              </w:rPr>
            </w:pPr>
            <w:r>
              <w:rPr>
                <w:sz w:val="20"/>
                <w:szCs w:val="20"/>
              </w:rPr>
              <w:t>75</w:t>
            </w:r>
          </w:p>
        </w:tc>
        <w:tc>
          <w:tcPr>
            <w:tcW w:w="3364" w:type="dxa"/>
          </w:tcPr>
          <w:p w14:paraId="625251DE" w14:textId="4480FF39" w:rsidR="00315254" w:rsidRPr="000C6BB8" w:rsidRDefault="00315254" w:rsidP="0049036B">
            <w:pPr>
              <w:rPr>
                <w:sz w:val="20"/>
                <w:szCs w:val="20"/>
              </w:rPr>
            </w:pPr>
            <w:r w:rsidRPr="00C96663">
              <w:rPr>
                <w:sz w:val="20"/>
                <w:szCs w:val="20"/>
              </w:rPr>
              <w:t>DPN-SA (25-20-10-) end-to-end</w:t>
            </w:r>
          </w:p>
        </w:tc>
        <w:tc>
          <w:tcPr>
            <w:tcW w:w="1170" w:type="dxa"/>
          </w:tcPr>
          <w:p w14:paraId="0B1B9D53" w14:textId="3F7E4BC3" w:rsidR="00315254" w:rsidRPr="000C6BB8" w:rsidRDefault="00745EE5" w:rsidP="0049036B">
            <w:pPr>
              <w:rPr>
                <w:sz w:val="20"/>
                <w:szCs w:val="20"/>
              </w:rPr>
            </w:pPr>
            <w:r w:rsidRPr="00745EE5">
              <w:rPr>
                <w:sz w:val="20"/>
                <w:szCs w:val="20"/>
              </w:rPr>
              <w:t>3.14 (0.52)</w:t>
            </w:r>
          </w:p>
        </w:tc>
        <w:tc>
          <w:tcPr>
            <w:tcW w:w="1125" w:type="dxa"/>
            <w:vAlign w:val="center"/>
          </w:tcPr>
          <w:p w14:paraId="3D6F2D4E" w14:textId="5D62099A" w:rsidR="00315254" w:rsidRPr="000C6BB8" w:rsidRDefault="00C150BD" w:rsidP="00113E52">
            <w:pPr>
              <w:jc w:val="center"/>
              <w:rPr>
                <w:sz w:val="20"/>
                <w:szCs w:val="20"/>
              </w:rPr>
            </w:pPr>
            <w:r w:rsidRPr="00C150BD">
              <w:rPr>
                <w:sz w:val="20"/>
                <w:szCs w:val="20"/>
              </w:rPr>
              <w:t>0.096</w:t>
            </w:r>
          </w:p>
        </w:tc>
        <w:tc>
          <w:tcPr>
            <w:tcW w:w="1480" w:type="dxa"/>
            <w:vAlign w:val="center"/>
          </w:tcPr>
          <w:p w14:paraId="6D29CCFE" w14:textId="6C74878A" w:rsidR="00315254" w:rsidRPr="000C6BB8" w:rsidRDefault="00391FC0" w:rsidP="00113E52">
            <w:pPr>
              <w:jc w:val="center"/>
              <w:rPr>
                <w:sz w:val="20"/>
                <w:szCs w:val="20"/>
              </w:rPr>
            </w:pPr>
            <w:r w:rsidRPr="00391FC0">
              <w:rPr>
                <w:sz w:val="20"/>
                <w:szCs w:val="20"/>
              </w:rPr>
              <w:t>1.13e-13</w:t>
            </w:r>
          </w:p>
        </w:tc>
      </w:tr>
      <w:tr w:rsidR="00315254" w:rsidRPr="000C6BB8" w14:paraId="6F9376FF" w14:textId="77777777" w:rsidTr="00552B8B">
        <w:tc>
          <w:tcPr>
            <w:tcW w:w="972" w:type="dxa"/>
            <w:vMerge/>
          </w:tcPr>
          <w:p w14:paraId="5698B4B8" w14:textId="77777777" w:rsidR="00315254" w:rsidRPr="000C6BB8" w:rsidRDefault="00315254" w:rsidP="0049036B">
            <w:pPr>
              <w:rPr>
                <w:sz w:val="20"/>
                <w:szCs w:val="20"/>
              </w:rPr>
            </w:pPr>
          </w:p>
        </w:tc>
        <w:tc>
          <w:tcPr>
            <w:tcW w:w="1239" w:type="dxa"/>
            <w:vMerge/>
          </w:tcPr>
          <w:p w14:paraId="3B59D747" w14:textId="77777777" w:rsidR="00315254" w:rsidRPr="000C6BB8" w:rsidRDefault="00315254" w:rsidP="0049036B">
            <w:pPr>
              <w:rPr>
                <w:sz w:val="20"/>
                <w:szCs w:val="20"/>
              </w:rPr>
            </w:pPr>
          </w:p>
        </w:tc>
        <w:tc>
          <w:tcPr>
            <w:tcW w:w="3364" w:type="dxa"/>
          </w:tcPr>
          <w:p w14:paraId="00A48FDF" w14:textId="23CC0B38" w:rsidR="00315254" w:rsidRPr="000C6BB8" w:rsidRDefault="00315254" w:rsidP="0049036B">
            <w:pPr>
              <w:rPr>
                <w:sz w:val="20"/>
                <w:szCs w:val="20"/>
              </w:rPr>
            </w:pPr>
            <w:r w:rsidRPr="00C96663">
              <w:rPr>
                <w:sz w:val="20"/>
                <w:szCs w:val="20"/>
              </w:rPr>
              <w:t>DPN-SA (25-20-10-) greedy st.</w:t>
            </w:r>
          </w:p>
        </w:tc>
        <w:tc>
          <w:tcPr>
            <w:tcW w:w="1170" w:type="dxa"/>
          </w:tcPr>
          <w:p w14:paraId="442FFFA8" w14:textId="7119F6AB" w:rsidR="00315254" w:rsidRPr="000C6BB8" w:rsidRDefault="004F11A2" w:rsidP="0049036B">
            <w:pPr>
              <w:rPr>
                <w:sz w:val="20"/>
                <w:szCs w:val="20"/>
              </w:rPr>
            </w:pPr>
            <w:r w:rsidRPr="004F11A2">
              <w:rPr>
                <w:sz w:val="20"/>
                <w:szCs w:val="20"/>
              </w:rPr>
              <w:t>2.7 (0.37)</w:t>
            </w:r>
          </w:p>
        </w:tc>
        <w:tc>
          <w:tcPr>
            <w:tcW w:w="1125" w:type="dxa"/>
            <w:vAlign w:val="center"/>
          </w:tcPr>
          <w:p w14:paraId="006F98DE" w14:textId="14C42B39" w:rsidR="00315254" w:rsidRPr="000C6BB8" w:rsidRDefault="00CB05C1" w:rsidP="00113E52">
            <w:pPr>
              <w:jc w:val="center"/>
              <w:rPr>
                <w:sz w:val="20"/>
                <w:szCs w:val="20"/>
              </w:rPr>
            </w:pPr>
            <w:r w:rsidRPr="00CB05C1">
              <w:rPr>
                <w:sz w:val="20"/>
                <w:szCs w:val="20"/>
              </w:rPr>
              <w:t>0.397</w:t>
            </w:r>
          </w:p>
        </w:tc>
        <w:tc>
          <w:tcPr>
            <w:tcW w:w="1480" w:type="dxa"/>
            <w:vAlign w:val="center"/>
          </w:tcPr>
          <w:p w14:paraId="54482A81" w14:textId="17619805" w:rsidR="00315254" w:rsidRPr="000C6BB8" w:rsidRDefault="00D1421E" w:rsidP="00113E52">
            <w:pPr>
              <w:jc w:val="center"/>
              <w:rPr>
                <w:sz w:val="20"/>
                <w:szCs w:val="20"/>
              </w:rPr>
            </w:pPr>
            <w:r w:rsidRPr="00D1421E">
              <w:rPr>
                <w:sz w:val="20"/>
                <w:szCs w:val="20"/>
              </w:rPr>
              <w:t>0.689</w:t>
            </w:r>
          </w:p>
        </w:tc>
      </w:tr>
      <w:tr w:rsidR="00315254" w:rsidRPr="000C6BB8" w14:paraId="27C1D054" w14:textId="77777777" w:rsidTr="00552B8B">
        <w:tc>
          <w:tcPr>
            <w:tcW w:w="972" w:type="dxa"/>
            <w:vMerge/>
          </w:tcPr>
          <w:p w14:paraId="0748FBAB" w14:textId="77777777" w:rsidR="00315254" w:rsidRPr="000C6BB8" w:rsidRDefault="00315254" w:rsidP="0049036B">
            <w:pPr>
              <w:rPr>
                <w:sz w:val="20"/>
                <w:szCs w:val="20"/>
              </w:rPr>
            </w:pPr>
          </w:p>
        </w:tc>
        <w:tc>
          <w:tcPr>
            <w:tcW w:w="1239" w:type="dxa"/>
            <w:vMerge/>
          </w:tcPr>
          <w:p w14:paraId="15EB794F" w14:textId="77777777" w:rsidR="00315254" w:rsidRPr="000C6BB8" w:rsidRDefault="00315254" w:rsidP="0049036B">
            <w:pPr>
              <w:rPr>
                <w:sz w:val="20"/>
                <w:szCs w:val="20"/>
              </w:rPr>
            </w:pPr>
          </w:p>
        </w:tc>
        <w:tc>
          <w:tcPr>
            <w:tcW w:w="3364" w:type="dxa"/>
          </w:tcPr>
          <w:p w14:paraId="0599894B" w14:textId="65D73131" w:rsidR="00315254" w:rsidRPr="00315E46" w:rsidRDefault="00315254" w:rsidP="0049036B">
            <w:pPr>
              <w:rPr>
                <w:b/>
                <w:bCs/>
                <w:sz w:val="20"/>
                <w:szCs w:val="20"/>
              </w:rPr>
            </w:pPr>
            <w:r w:rsidRPr="00315E46">
              <w:rPr>
                <w:b/>
                <w:bCs/>
                <w:sz w:val="20"/>
                <w:szCs w:val="20"/>
              </w:rPr>
              <w:t>DPN-SA (25-20-10-) greedy st. curr.</w:t>
            </w:r>
          </w:p>
        </w:tc>
        <w:tc>
          <w:tcPr>
            <w:tcW w:w="1170" w:type="dxa"/>
          </w:tcPr>
          <w:p w14:paraId="6E34C18F" w14:textId="0DB017B8" w:rsidR="00315254" w:rsidRPr="007D442B" w:rsidRDefault="007D442B" w:rsidP="0049036B">
            <w:pPr>
              <w:rPr>
                <w:b/>
                <w:bCs/>
                <w:sz w:val="20"/>
                <w:szCs w:val="20"/>
              </w:rPr>
            </w:pPr>
            <w:r w:rsidRPr="007D442B">
              <w:rPr>
                <w:b/>
                <w:bCs/>
                <w:sz w:val="20"/>
                <w:szCs w:val="20"/>
              </w:rPr>
              <w:t>2.69 (0.35)</w:t>
            </w:r>
          </w:p>
        </w:tc>
        <w:tc>
          <w:tcPr>
            <w:tcW w:w="1125" w:type="dxa"/>
            <w:vAlign w:val="center"/>
          </w:tcPr>
          <w:p w14:paraId="78F27771" w14:textId="2FE8FBF9" w:rsidR="00315254" w:rsidRPr="000C6BB8" w:rsidRDefault="007D442B" w:rsidP="00113E52">
            <w:pPr>
              <w:jc w:val="center"/>
              <w:rPr>
                <w:sz w:val="20"/>
                <w:szCs w:val="20"/>
              </w:rPr>
            </w:pPr>
            <w:r>
              <w:rPr>
                <w:sz w:val="20"/>
                <w:szCs w:val="20"/>
              </w:rPr>
              <w:t>Ref.</w:t>
            </w:r>
          </w:p>
        </w:tc>
        <w:tc>
          <w:tcPr>
            <w:tcW w:w="1480" w:type="dxa"/>
            <w:vAlign w:val="center"/>
          </w:tcPr>
          <w:p w14:paraId="08DD2ADB" w14:textId="23CB6B32" w:rsidR="00315254" w:rsidRPr="000C6BB8" w:rsidRDefault="007D442B" w:rsidP="00113E52">
            <w:pPr>
              <w:jc w:val="center"/>
              <w:rPr>
                <w:sz w:val="20"/>
                <w:szCs w:val="20"/>
              </w:rPr>
            </w:pPr>
            <w:r>
              <w:rPr>
                <w:sz w:val="20"/>
                <w:szCs w:val="20"/>
              </w:rPr>
              <w:t>Ref.</w:t>
            </w:r>
          </w:p>
        </w:tc>
      </w:tr>
      <w:tr w:rsidR="00315254" w:rsidRPr="000C6BB8" w14:paraId="3A5918FF" w14:textId="77777777" w:rsidTr="00552B8B">
        <w:tc>
          <w:tcPr>
            <w:tcW w:w="972" w:type="dxa"/>
            <w:vMerge/>
          </w:tcPr>
          <w:p w14:paraId="5161E5E7" w14:textId="77777777" w:rsidR="00315254" w:rsidRPr="000C6BB8" w:rsidRDefault="00315254" w:rsidP="0049036B">
            <w:pPr>
              <w:rPr>
                <w:sz w:val="20"/>
                <w:szCs w:val="20"/>
              </w:rPr>
            </w:pPr>
          </w:p>
        </w:tc>
        <w:tc>
          <w:tcPr>
            <w:tcW w:w="1239" w:type="dxa"/>
            <w:vMerge/>
          </w:tcPr>
          <w:p w14:paraId="33BDC262" w14:textId="77777777" w:rsidR="00315254" w:rsidRPr="000C6BB8" w:rsidRDefault="00315254" w:rsidP="0049036B">
            <w:pPr>
              <w:rPr>
                <w:sz w:val="20"/>
                <w:szCs w:val="20"/>
              </w:rPr>
            </w:pPr>
          </w:p>
        </w:tc>
        <w:tc>
          <w:tcPr>
            <w:tcW w:w="3364" w:type="dxa"/>
          </w:tcPr>
          <w:p w14:paraId="11D6FFEC" w14:textId="0B871A71" w:rsidR="00315254" w:rsidRPr="000C6BB8" w:rsidRDefault="00315254" w:rsidP="0049036B">
            <w:pPr>
              <w:rPr>
                <w:sz w:val="20"/>
                <w:szCs w:val="20"/>
              </w:rPr>
            </w:pPr>
            <w:r w:rsidRPr="00ED62F7">
              <w:rPr>
                <w:sz w:val="20"/>
                <w:szCs w:val="20"/>
              </w:rPr>
              <w:t>DPN-SA (25-10-)</w:t>
            </w:r>
          </w:p>
        </w:tc>
        <w:tc>
          <w:tcPr>
            <w:tcW w:w="1170" w:type="dxa"/>
          </w:tcPr>
          <w:p w14:paraId="0024BDCE" w14:textId="4A8CB0A5" w:rsidR="00315254" w:rsidRPr="000C6BB8" w:rsidRDefault="00552B8B" w:rsidP="0049036B">
            <w:pPr>
              <w:rPr>
                <w:sz w:val="20"/>
                <w:szCs w:val="20"/>
              </w:rPr>
            </w:pPr>
            <w:r w:rsidRPr="00552B8B">
              <w:rPr>
                <w:sz w:val="20"/>
                <w:szCs w:val="20"/>
              </w:rPr>
              <w:t>3.52 (0.53)</w:t>
            </w:r>
          </w:p>
        </w:tc>
        <w:tc>
          <w:tcPr>
            <w:tcW w:w="1125" w:type="dxa"/>
            <w:vAlign w:val="center"/>
          </w:tcPr>
          <w:p w14:paraId="1C923CBD" w14:textId="44D2605B" w:rsidR="00315254" w:rsidRPr="000C6BB8" w:rsidRDefault="00C36261" w:rsidP="00113E52">
            <w:pPr>
              <w:jc w:val="center"/>
              <w:rPr>
                <w:sz w:val="20"/>
                <w:szCs w:val="20"/>
              </w:rPr>
            </w:pPr>
            <w:r w:rsidRPr="00C36261">
              <w:rPr>
                <w:sz w:val="20"/>
                <w:szCs w:val="20"/>
              </w:rPr>
              <w:t>0.02</w:t>
            </w:r>
          </w:p>
        </w:tc>
        <w:tc>
          <w:tcPr>
            <w:tcW w:w="1480" w:type="dxa"/>
            <w:vAlign w:val="center"/>
          </w:tcPr>
          <w:p w14:paraId="3130DB48" w14:textId="2918D6D8" w:rsidR="00315254" w:rsidRPr="000C6BB8" w:rsidRDefault="0083605F" w:rsidP="00113E52">
            <w:pPr>
              <w:jc w:val="center"/>
              <w:rPr>
                <w:sz w:val="20"/>
                <w:szCs w:val="20"/>
              </w:rPr>
            </w:pPr>
            <w:r w:rsidRPr="0083605F">
              <w:rPr>
                <w:sz w:val="20"/>
                <w:szCs w:val="20"/>
              </w:rPr>
              <w:t>2.74e-22</w:t>
            </w:r>
          </w:p>
        </w:tc>
      </w:tr>
      <w:tr w:rsidR="00315254" w:rsidRPr="000C6BB8" w14:paraId="424188E1" w14:textId="77777777" w:rsidTr="00552B8B">
        <w:tc>
          <w:tcPr>
            <w:tcW w:w="972" w:type="dxa"/>
            <w:vMerge/>
          </w:tcPr>
          <w:p w14:paraId="0720BF30" w14:textId="77777777" w:rsidR="00315254" w:rsidRPr="000C6BB8" w:rsidRDefault="00315254" w:rsidP="0049036B">
            <w:pPr>
              <w:rPr>
                <w:sz w:val="20"/>
                <w:szCs w:val="20"/>
              </w:rPr>
            </w:pPr>
          </w:p>
        </w:tc>
        <w:tc>
          <w:tcPr>
            <w:tcW w:w="1239" w:type="dxa"/>
            <w:vMerge/>
          </w:tcPr>
          <w:p w14:paraId="0E535208" w14:textId="77777777" w:rsidR="00315254" w:rsidRPr="000C6BB8" w:rsidRDefault="00315254" w:rsidP="0049036B">
            <w:pPr>
              <w:rPr>
                <w:sz w:val="20"/>
                <w:szCs w:val="20"/>
              </w:rPr>
            </w:pPr>
          </w:p>
        </w:tc>
        <w:tc>
          <w:tcPr>
            <w:tcW w:w="3364" w:type="dxa"/>
          </w:tcPr>
          <w:p w14:paraId="2D7EBC39" w14:textId="590E1B45" w:rsidR="00315254" w:rsidRPr="000C6BB8" w:rsidRDefault="00315254" w:rsidP="0049036B">
            <w:pPr>
              <w:rPr>
                <w:sz w:val="20"/>
                <w:szCs w:val="20"/>
              </w:rPr>
            </w:pPr>
            <w:r w:rsidRPr="00D02F13">
              <w:rPr>
                <w:sz w:val="20"/>
                <w:szCs w:val="20"/>
              </w:rPr>
              <w:t>DPN-SA (25-1-)</w:t>
            </w:r>
          </w:p>
        </w:tc>
        <w:tc>
          <w:tcPr>
            <w:tcW w:w="1170" w:type="dxa"/>
          </w:tcPr>
          <w:p w14:paraId="72079CD6" w14:textId="025E1EE3" w:rsidR="00315254" w:rsidRPr="000C6BB8" w:rsidRDefault="00552B8B" w:rsidP="0049036B">
            <w:pPr>
              <w:rPr>
                <w:sz w:val="20"/>
                <w:szCs w:val="20"/>
              </w:rPr>
            </w:pPr>
            <w:r w:rsidRPr="00552B8B">
              <w:rPr>
                <w:sz w:val="20"/>
                <w:szCs w:val="20"/>
              </w:rPr>
              <w:t>3.59 (0.54)</w:t>
            </w:r>
          </w:p>
        </w:tc>
        <w:tc>
          <w:tcPr>
            <w:tcW w:w="1125" w:type="dxa"/>
            <w:vAlign w:val="center"/>
          </w:tcPr>
          <w:p w14:paraId="2918BE8C" w14:textId="5F67A2A7" w:rsidR="00315254" w:rsidRPr="000C6BB8" w:rsidRDefault="00E832F8" w:rsidP="00113E52">
            <w:pPr>
              <w:jc w:val="center"/>
              <w:rPr>
                <w:sz w:val="20"/>
                <w:szCs w:val="20"/>
              </w:rPr>
            </w:pPr>
            <w:r w:rsidRPr="00E832F8">
              <w:rPr>
                <w:sz w:val="20"/>
                <w:szCs w:val="20"/>
              </w:rPr>
              <w:t>0.009</w:t>
            </w:r>
          </w:p>
        </w:tc>
        <w:tc>
          <w:tcPr>
            <w:tcW w:w="1480" w:type="dxa"/>
            <w:vAlign w:val="center"/>
          </w:tcPr>
          <w:p w14:paraId="3552BDA1" w14:textId="67991483" w:rsidR="00315254" w:rsidRPr="000C6BB8" w:rsidRDefault="00406B37" w:rsidP="00113E52">
            <w:pPr>
              <w:jc w:val="center"/>
              <w:rPr>
                <w:sz w:val="20"/>
                <w:szCs w:val="20"/>
              </w:rPr>
            </w:pPr>
            <w:r w:rsidRPr="00406B37">
              <w:rPr>
                <w:sz w:val="20"/>
                <w:szCs w:val="20"/>
              </w:rPr>
              <w:t>8.83e-26</w:t>
            </w:r>
          </w:p>
        </w:tc>
      </w:tr>
      <w:tr w:rsidR="00315254" w:rsidRPr="000C6BB8" w14:paraId="04ABC119" w14:textId="77777777" w:rsidTr="00552B8B">
        <w:tc>
          <w:tcPr>
            <w:tcW w:w="972" w:type="dxa"/>
            <w:vMerge/>
          </w:tcPr>
          <w:p w14:paraId="672CECD6" w14:textId="77777777" w:rsidR="00315254" w:rsidRPr="000C6BB8" w:rsidRDefault="00315254" w:rsidP="0049036B">
            <w:pPr>
              <w:rPr>
                <w:sz w:val="20"/>
                <w:szCs w:val="20"/>
              </w:rPr>
            </w:pPr>
          </w:p>
        </w:tc>
        <w:tc>
          <w:tcPr>
            <w:tcW w:w="1239" w:type="dxa"/>
            <w:vMerge/>
          </w:tcPr>
          <w:p w14:paraId="4186CA6C" w14:textId="77777777" w:rsidR="00315254" w:rsidRPr="000C6BB8" w:rsidRDefault="00315254" w:rsidP="0049036B">
            <w:pPr>
              <w:rPr>
                <w:sz w:val="20"/>
                <w:szCs w:val="20"/>
              </w:rPr>
            </w:pPr>
          </w:p>
        </w:tc>
        <w:tc>
          <w:tcPr>
            <w:tcW w:w="3364" w:type="dxa"/>
          </w:tcPr>
          <w:p w14:paraId="6B1074A9" w14:textId="0D390514" w:rsidR="00315254" w:rsidRPr="000C6BB8" w:rsidRDefault="00315254" w:rsidP="0049036B">
            <w:pPr>
              <w:rPr>
                <w:sz w:val="20"/>
                <w:szCs w:val="20"/>
              </w:rPr>
            </w:pPr>
            <w:r w:rsidRPr="005D7737">
              <w:rPr>
                <w:sz w:val="20"/>
                <w:szCs w:val="20"/>
              </w:rPr>
              <w:t>DCN-PD</w:t>
            </w:r>
          </w:p>
        </w:tc>
        <w:tc>
          <w:tcPr>
            <w:tcW w:w="1170" w:type="dxa"/>
          </w:tcPr>
          <w:p w14:paraId="71587905" w14:textId="5ECFACA1" w:rsidR="00315254" w:rsidRPr="000C6BB8" w:rsidRDefault="006B7A0F" w:rsidP="0049036B">
            <w:pPr>
              <w:rPr>
                <w:sz w:val="20"/>
                <w:szCs w:val="20"/>
              </w:rPr>
            </w:pPr>
            <w:r w:rsidRPr="006B7A0F">
              <w:rPr>
                <w:sz w:val="20"/>
                <w:szCs w:val="20"/>
              </w:rPr>
              <w:t>2.71 (0.41)</w:t>
            </w:r>
          </w:p>
        </w:tc>
        <w:tc>
          <w:tcPr>
            <w:tcW w:w="1125" w:type="dxa"/>
            <w:vAlign w:val="center"/>
          </w:tcPr>
          <w:p w14:paraId="6A2797F2" w14:textId="06508000" w:rsidR="00315254" w:rsidRPr="000C6BB8" w:rsidRDefault="00C2300A" w:rsidP="00113E52">
            <w:pPr>
              <w:jc w:val="center"/>
              <w:rPr>
                <w:sz w:val="20"/>
                <w:szCs w:val="20"/>
              </w:rPr>
            </w:pPr>
            <w:r w:rsidRPr="00C2300A">
              <w:rPr>
                <w:sz w:val="20"/>
                <w:szCs w:val="20"/>
              </w:rPr>
              <w:t>0.396</w:t>
            </w:r>
          </w:p>
        </w:tc>
        <w:tc>
          <w:tcPr>
            <w:tcW w:w="1480" w:type="dxa"/>
            <w:vAlign w:val="center"/>
          </w:tcPr>
          <w:p w14:paraId="0BFD04BF" w14:textId="29B18099" w:rsidR="00315254" w:rsidRPr="000C6BB8" w:rsidRDefault="00697096" w:rsidP="00113E52">
            <w:pPr>
              <w:jc w:val="center"/>
              <w:rPr>
                <w:sz w:val="20"/>
                <w:szCs w:val="20"/>
              </w:rPr>
            </w:pPr>
            <w:r w:rsidRPr="00697096">
              <w:rPr>
                <w:sz w:val="20"/>
                <w:szCs w:val="20"/>
              </w:rPr>
              <w:t>0.648</w:t>
            </w:r>
          </w:p>
        </w:tc>
      </w:tr>
      <w:tr w:rsidR="00315254" w:rsidRPr="000C6BB8" w14:paraId="7E2EAD74" w14:textId="77777777" w:rsidTr="00552B8B">
        <w:tc>
          <w:tcPr>
            <w:tcW w:w="972" w:type="dxa"/>
            <w:vMerge/>
          </w:tcPr>
          <w:p w14:paraId="4C1B87EA" w14:textId="77777777" w:rsidR="00315254" w:rsidRPr="000C6BB8" w:rsidRDefault="00315254" w:rsidP="0049036B">
            <w:pPr>
              <w:rPr>
                <w:sz w:val="20"/>
                <w:szCs w:val="20"/>
              </w:rPr>
            </w:pPr>
          </w:p>
        </w:tc>
        <w:tc>
          <w:tcPr>
            <w:tcW w:w="1239" w:type="dxa"/>
            <w:vMerge/>
          </w:tcPr>
          <w:p w14:paraId="5739FFD0" w14:textId="77777777" w:rsidR="00315254" w:rsidRPr="000C6BB8" w:rsidRDefault="00315254" w:rsidP="0049036B">
            <w:pPr>
              <w:rPr>
                <w:sz w:val="20"/>
                <w:szCs w:val="20"/>
              </w:rPr>
            </w:pPr>
          </w:p>
        </w:tc>
        <w:tc>
          <w:tcPr>
            <w:tcW w:w="3364" w:type="dxa"/>
          </w:tcPr>
          <w:p w14:paraId="6717A64D" w14:textId="5F849007" w:rsidR="00315254" w:rsidRPr="000C6BB8" w:rsidRDefault="00315254" w:rsidP="0049036B">
            <w:pPr>
              <w:rPr>
                <w:sz w:val="20"/>
                <w:szCs w:val="20"/>
              </w:rPr>
            </w:pPr>
            <w:r w:rsidRPr="006E2B24">
              <w:rPr>
                <w:sz w:val="20"/>
                <w:szCs w:val="20"/>
              </w:rPr>
              <w:t>Logistic Regression</w:t>
            </w:r>
          </w:p>
        </w:tc>
        <w:tc>
          <w:tcPr>
            <w:tcW w:w="1170" w:type="dxa"/>
          </w:tcPr>
          <w:p w14:paraId="1153CCB7" w14:textId="3A4D16DA" w:rsidR="00315254" w:rsidRPr="000C6BB8" w:rsidRDefault="00325674" w:rsidP="0049036B">
            <w:pPr>
              <w:rPr>
                <w:sz w:val="20"/>
                <w:szCs w:val="20"/>
              </w:rPr>
            </w:pPr>
            <w:r w:rsidRPr="00325674">
              <w:rPr>
                <w:sz w:val="20"/>
                <w:szCs w:val="20"/>
              </w:rPr>
              <w:t>7.08 (1.27)</w:t>
            </w:r>
          </w:p>
        </w:tc>
        <w:tc>
          <w:tcPr>
            <w:tcW w:w="1125" w:type="dxa"/>
            <w:vAlign w:val="center"/>
          </w:tcPr>
          <w:p w14:paraId="56E13BCE" w14:textId="02615297" w:rsidR="00315254" w:rsidRPr="000C6BB8" w:rsidRDefault="00041844" w:rsidP="00113E52">
            <w:pPr>
              <w:jc w:val="center"/>
              <w:rPr>
                <w:sz w:val="20"/>
                <w:szCs w:val="20"/>
              </w:rPr>
            </w:pPr>
            <w:r w:rsidRPr="00041844">
              <w:rPr>
                <w:sz w:val="20"/>
                <w:szCs w:val="20"/>
              </w:rPr>
              <w:t>2.69e-10</w:t>
            </w:r>
          </w:p>
        </w:tc>
        <w:tc>
          <w:tcPr>
            <w:tcW w:w="1480" w:type="dxa"/>
            <w:vAlign w:val="center"/>
          </w:tcPr>
          <w:p w14:paraId="19C037F0" w14:textId="2D6652EB" w:rsidR="00315254" w:rsidRPr="000C6BB8" w:rsidRDefault="00E43F87" w:rsidP="00113E52">
            <w:pPr>
              <w:jc w:val="center"/>
              <w:rPr>
                <w:sz w:val="20"/>
                <w:szCs w:val="20"/>
              </w:rPr>
            </w:pPr>
            <w:r w:rsidRPr="00E43F87">
              <w:rPr>
                <w:sz w:val="20"/>
                <w:szCs w:val="20"/>
              </w:rPr>
              <w:t>1.56e-59</w:t>
            </w:r>
          </w:p>
        </w:tc>
      </w:tr>
      <w:tr w:rsidR="00315254" w:rsidRPr="000C6BB8" w14:paraId="370E002B" w14:textId="77777777" w:rsidTr="00552B8B">
        <w:tc>
          <w:tcPr>
            <w:tcW w:w="972" w:type="dxa"/>
            <w:vMerge/>
          </w:tcPr>
          <w:p w14:paraId="5FC12EFA" w14:textId="77777777" w:rsidR="00315254" w:rsidRPr="000C6BB8" w:rsidRDefault="00315254" w:rsidP="0049036B">
            <w:pPr>
              <w:rPr>
                <w:sz w:val="20"/>
                <w:szCs w:val="20"/>
              </w:rPr>
            </w:pPr>
          </w:p>
        </w:tc>
        <w:tc>
          <w:tcPr>
            <w:tcW w:w="1239" w:type="dxa"/>
            <w:vMerge/>
          </w:tcPr>
          <w:p w14:paraId="11342622" w14:textId="77777777" w:rsidR="00315254" w:rsidRPr="000C6BB8" w:rsidRDefault="00315254" w:rsidP="0049036B">
            <w:pPr>
              <w:rPr>
                <w:sz w:val="20"/>
                <w:szCs w:val="20"/>
              </w:rPr>
            </w:pPr>
          </w:p>
        </w:tc>
        <w:tc>
          <w:tcPr>
            <w:tcW w:w="3364" w:type="dxa"/>
          </w:tcPr>
          <w:p w14:paraId="18A79CC1" w14:textId="7B964C7C" w:rsidR="00315254" w:rsidRPr="000C6BB8" w:rsidRDefault="00315254" w:rsidP="0049036B">
            <w:pPr>
              <w:rPr>
                <w:sz w:val="20"/>
                <w:szCs w:val="20"/>
              </w:rPr>
            </w:pPr>
            <w:r w:rsidRPr="00D22E1F">
              <w:rPr>
                <w:sz w:val="20"/>
                <w:szCs w:val="20"/>
              </w:rPr>
              <w:t>LASSO Logistic Regression</w:t>
            </w:r>
          </w:p>
        </w:tc>
        <w:tc>
          <w:tcPr>
            <w:tcW w:w="1170" w:type="dxa"/>
          </w:tcPr>
          <w:p w14:paraId="713546A4" w14:textId="58107AE7" w:rsidR="00315254" w:rsidRPr="000C6BB8" w:rsidRDefault="00A04205" w:rsidP="0049036B">
            <w:pPr>
              <w:rPr>
                <w:sz w:val="20"/>
                <w:szCs w:val="20"/>
              </w:rPr>
            </w:pPr>
            <w:r w:rsidRPr="00A04205">
              <w:rPr>
                <w:sz w:val="20"/>
                <w:szCs w:val="20"/>
              </w:rPr>
              <w:t>7.35 (1.12)</w:t>
            </w:r>
          </w:p>
        </w:tc>
        <w:tc>
          <w:tcPr>
            <w:tcW w:w="1125" w:type="dxa"/>
            <w:vAlign w:val="center"/>
          </w:tcPr>
          <w:p w14:paraId="23E3FA11" w14:textId="7CE12A14" w:rsidR="00315254" w:rsidRPr="000C6BB8" w:rsidRDefault="004E541E" w:rsidP="00113E52">
            <w:pPr>
              <w:jc w:val="center"/>
              <w:rPr>
                <w:sz w:val="20"/>
                <w:szCs w:val="20"/>
              </w:rPr>
            </w:pPr>
            <w:r w:rsidRPr="004E541E">
              <w:rPr>
                <w:sz w:val="20"/>
                <w:szCs w:val="20"/>
              </w:rPr>
              <w:t>1.36e-12</w:t>
            </w:r>
          </w:p>
        </w:tc>
        <w:tc>
          <w:tcPr>
            <w:tcW w:w="1480" w:type="dxa"/>
            <w:vAlign w:val="center"/>
          </w:tcPr>
          <w:p w14:paraId="7BFD14A5" w14:textId="33D1196C" w:rsidR="00315254" w:rsidRPr="000C6BB8" w:rsidRDefault="006F0BC8" w:rsidP="00113E52">
            <w:pPr>
              <w:jc w:val="center"/>
              <w:rPr>
                <w:sz w:val="20"/>
                <w:szCs w:val="20"/>
              </w:rPr>
            </w:pPr>
            <w:r w:rsidRPr="006F0BC8">
              <w:rPr>
                <w:sz w:val="20"/>
                <w:szCs w:val="20"/>
              </w:rPr>
              <w:t>3.34e-65</w:t>
            </w:r>
          </w:p>
        </w:tc>
      </w:tr>
    </w:tbl>
    <w:p w14:paraId="22E34BAC" w14:textId="5633BD14" w:rsidR="00C47EE2" w:rsidRPr="00E07467" w:rsidRDefault="00717613" w:rsidP="00717613">
      <w:pPr>
        <w:pStyle w:val="AMIAHeading"/>
        <w:spacing w:line="480" w:lineRule="auto"/>
        <w:ind w:left="2880"/>
        <w:jc w:val="left"/>
        <w:rPr>
          <w:b w:val="0"/>
          <w:bCs/>
          <w:sz w:val="15"/>
          <w:szCs w:val="15"/>
        </w:rPr>
      </w:pPr>
      <w:bookmarkStart w:id="7" w:name="Table1"/>
      <w:r>
        <w:rPr>
          <w:b w:val="0"/>
          <w:bCs/>
          <w:sz w:val="15"/>
          <w:szCs w:val="15"/>
        </w:rPr>
        <w:t>Table</w:t>
      </w:r>
      <w:r w:rsidR="000527EE">
        <w:rPr>
          <w:b w:val="0"/>
          <w:bCs/>
          <w:sz w:val="15"/>
          <w:szCs w:val="15"/>
        </w:rPr>
        <w:t xml:space="preserve"> </w:t>
      </w:r>
      <w:r>
        <w:rPr>
          <w:b w:val="0"/>
          <w:bCs/>
          <w:sz w:val="15"/>
          <w:szCs w:val="15"/>
        </w:rPr>
        <w:t>1</w:t>
      </w:r>
      <w:bookmarkEnd w:id="7"/>
      <w:r w:rsidR="000527EE">
        <w:rPr>
          <w:b w:val="0"/>
          <w:bCs/>
          <w:sz w:val="15"/>
          <w:szCs w:val="15"/>
        </w:rPr>
        <w:t xml:space="preserve">: </w:t>
      </w:r>
      <w:r w:rsidRPr="00717613">
        <w:rPr>
          <w:b w:val="0"/>
          <w:bCs/>
          <w:sz w:val="15"/>
          <w:szCs w:val="15"/>
        </w:rPr>
        <w:t>Performance of the models against IHDP dataset</w:t>
      </w:r>
    </w:p>
    <w:p w14:paraId="1C24B0B4" w14:textId="18A23BF8" w:rsidR="00CF1CD4" w:rsidRDefault="00576321" w:rsidP="00ED147C">
      <w:pPr>
        <w:pStyle w:val="AMIAHeading"/>
        <w:spacing w:line="480" w:lineRule="auto"/>
        <w:jc w:val="left"/>
      </w:pPr>
      <w:r>
        <w:t xml:space="preserve">3 </w:t>
      </w:r>
      <w:r w:rsidRPr="00576321">
        <w:t>Results</w:t>
      </w:r>
    </w:p>
    <w:p w14:paraId="67A42914" w14:textId="36A81CF3" w:rsidR="003A3EBC" w:rsidRDefault="003A3EBC" w:rsidP="00ED147C">
      <w:pPr>
        <w:pStyle w:val="AMIAHeading"/>
        <w:spacing w:line="480" w:lineRule="auto"/>
        <w:jc w:val="left"/>
        <w:rPr>
          <w:b w:val="0"/>
          <w:bCs/>
        </w:rPr>
      </w:pPr>
      <w:r w:rsidRPr="00AE76A9">
        <w:rPr>
          <w:b w:val="0"/>
          <w:bCs/>
        </w:rPr>
        <w:t xml:space="preserve">Figures </w:t>
      </w:r>
      <w:r w:rsidR="00EF5FAB" w:rsidRPr="00EF5FAB">
        <w:rPr>
          <w:b w:val="0"/>
          <w:bCs/>
        </w:rPr>
        <w:fldChar w:fldCharType="begin"/>
      </w:r>
      <w:r w:rsidR="00EF5FAB" w:rsidRPr="00EF5FAB">
        <w:rPr>
          <w:b w:val="0"/>
          <w:bCs/>
        </w:rPr>
        <w:instrText xml:space="preserve"> REF Figure3 \h </w:instrText>
      </w:r>
      <w:r w:rsidR="00EF5FAB" w:rsidRPr="00EF5FAB">
        <w:rPr>
          <w:b w:val="0"/>
          <w:bCs/>
        </w:rPr>
      </w:r>
      <w:r w:rsidR="00EF5FAB">
        <w:rPr>
          <w:b w:val="0"/>
          <w:bCs/>
        </w:rPr>
        <w:instrText xml:space="preserve"> \* MERGEFORMAT </w:instrText>
      </w:r>
      <w:r w:rsidR="00EF5FAB" w:rsidRPr="00EF5FAB">
        <w:rPr>
          <w:b w:val="0"/>
          <w:bCs/>
        </w:rPr>
        <w:fldChar w:fldCharType="separate"/>
      </w:r>
      <w:r w:rsidR="00EF5FAB" w:rsidRPr="00EF5FAB">
        <w:rPr>
          <w:b w:val="0"/>
          <w:bCs/>
        </w:rPr>
        <w:t>3</w:t>
      </w:r>
      <w:r w:rsidR="00EF5FAB" w:rsidRPr="00EF5FAB">
        <w:rPr>
          <w:b w:val="0"/>
          <w:bCs/>
        </w:rPr>
        <w:fldChar w:fldCharType="end"/>
      </w:r>
      <w:r w:rsidR="00EF5FAB">
        <w:rPr>
          <w:b w:val="0"/>
          <w:bCs/>
        </w:rPr>
        <w:t xml:space="preserve"> and </w:t>
      </w:r>
      <w:r w:rsidR="00EF5FAB" w:rsidRPr="00EF5FAB">
        <w:rPr>
          <w:b w:val="0"/>
          <w:bCs/>
        </w:rPr>
        <w:fldChar w:fldCharType="begin"/>
      </w:r>
      <w:r w:rsidR="00EF5FAB" w:rsidRPr="00EF5FAB">
        <w:rPr>
          <w:b w:val="0"/>
          <w:bCs/>
        </w:rPr>
        <w:instrText xml:space="preserve"> REF Figure4 \h </w:instrText>
      </w:r>
      <w:r w:rsidR="00EF5FAB" w:rsidRPr="00EF5FAB">
        <w:rPr>
          <w:b w:val="0"/>
          <w:bCs/>
        </w:rPr>
      </w:r>
      <w:r w:rsidR="00EF5FAB">
        <w:rPr>
          <w:b w:val="0"/>
          <w:bCs/>
        </w:rPr>
        <w:instrText xml:space="preserve"> \* MERGEFORMAT </w:instrText>
      </w:r>
      <w:r w:rsidR="00EF5FAB" w:rsidRPr="00EF5FAB">
        <w:rPr>
          <w:b w:val="0"/>
          <w:bCs/>
        </w:rPr>
        <w:fldChar w:fldCharType="separate"/>
      </w:r>
      <w:r w:rsidR="00EF5FAB" w:rsidRPr="00EF5FAB">
        <w:rPr>
          <w:b w:val="0"/>
          <w:bCs/>
        </w:rPr>
        <w:t>4</w:t>
      </w:r>
      <w:r w:rsidR="00EF5FAB" w:rsidRPr="00EF5FAB">
        <w:rPr>
          <w:b w:val="0"/>
          <w:bCs/>
        </w:rPr>
        <w:fldChar w:fldCharType="end"/>
      </w:r>
      <w:r w:rsidRPr="00AE76A9">
        <w:rPr>
          <w:b w:val="0"/>
          <w:bCs/>
        </w:rPr>
        <w:t xml:space="preserve"> show the histogram, quantile-quantile, and scatterplots of the </w:t>
      </w:r>
      <m:oMath>
        <m:r>
          <m:rPr>
            <m:sty m:val="p"/>
          </m:rPr>
          <w:rPr>
            <w:rFonts w:ascii="Cambria Math" w:hAnsi="Cambria Math"/>
          </w:rPr>
          <m:t>π</m:t>
        </m:r>
        <m:d>
          <m:dPr>
            <m:ctrlPr>
              <w:rPr>
                <w:rFonts w:ascii="Cambria Math" w:hAnsi="Cambria Math"/>
                <w:b w:val="0"/>
                <w:bCs/>
                <w:i/>
              </w:rPr>
            </m:ctrlPr>
          </m:dPr>
          <m:e>
            <m:r>
              <w:rPr>
                <w:rFonts w:ascii="Cambria Math" w:hAnsi="Cambria Math"/>
              </w:rPr>
              <m:t>X</m:t>
            </m:r>
          </m:e>
        </m:d>
      </m:oMath>
      <w:r w:rsidRPr="00AE76A9">
        <w:rPr>
          <w:b w:val="0"/>
          <w:bCs/>
        </w:rPr>
        <w:t xml:space="preserve"> distribution (stratified by treatment group) of the PDN-SA and the other models (real dataset). The propensity scores among all DPN-SA were well-correlated, similarly to the correlation between DPN-SA and DCN-PD. Logistic regression and LASSO were highly correlated. The propensity scores of the DPN-SA exhibited a more polarized distribution toward the extremes as compared to DCN-PD, but not as marked as logistic regression and LASSO.</w:t>
      </w:r>
    </w:p>
    <w:p w14:paraId="1CE910A5" w14:textId="7D984828" w:rsidR="00334FD8" w:rsidRDefault="002A2B40" w:rsidP="00ED147C">
      <w:pPr>
        <w:pStyle w:val="AMIAHeading"/>
        <w:spacing w:line="480" w:lineRule="auto"/>
        <w:jc w:val="left"/>
        <w:rPr>
          <w:b w:val="0"/>
          <w:bCs/>
        </w:rPr>
      </w:pPr>
      <w:r w:rsidRPr="002A2B40">
        <w:rPr>
          <w:b w:val="0"/>
          <w:bCs/>
        </w:rPr>
        <w:fldChar w:fldCharType="begin"/>
      </w:r>
      <w:r w:rsidRPr="002A2B40">
        <w:rPr>
          <w:b w:val="0"/>
          <w:bCs/>
        </w:rPr>
        <w:instrText xml:space="preserve"> REF Table1 \h </w:instrText>
      </w:r>
      <w:r w:rsidRPr="002A2B40">
        <w:rPr>
          <w:b w:val="0"/>
          <w:bCs/>
        </w:rPr>
      </w:r>
      <w:r>
        <w:rPr>
          <w:b w:val="0"/>
          <w:bCs/>
        </w:rPr>
        <w:instrText xml:space="preserve"> \* MERGEFORMAT </w:instrText>
      </w:r>
      <w:r w:rsidRPr="002A2B40">
        <w:rPr>
          <w:b w:val="0"/>
          <w:bCs/>
        </w:rPr>
        <w:fldChar w:fldCharType="separate"/>
      </w:r>
      <w:r w:rsidRPr="002A2B40">
        <w:rPr>
          <w:b w:val="0"/>
          <w:bCs/>
        </w:rPr>
        <w:t>Table</w:t>
      </w:r>
      <w:r w:rsidRPr="002A2B40">
        <w:rPr>
          <w:b w:val="0"/>
          <w:bCs/>
        </w:rPr>
        <w:t xml:space="preserve"> </w:t>
      </w:r>
      <w:r w:rsidRPr="002A2B40">
        <w:rPr>
          <w:b w:val="0"/>
          <w:bCs/>
        </w:rPr>
        <w:t>1</w:t>
      </w:r>
      <w:r w:rsidRPr="002A2B40">
        <w:rPr>
          <w:b w:val="0"/>
          <w:bCs/>
        </w:rPr>
        <w:fldChar w:fldCharType="end"/>
      </w:r>
      <w:r w:rsidR="00334FD8" w:rsidRPr="00334FD8">
        <w:rPr>
          <w:b w:val="0"/>
          <w:bCs/>
        </w:rPr>
        <w:t xml:space="preserve"> shows the MSE results for all models (real and synthetic data). On the real dataset, the DPN-SA configured with the 25-20-10-20-</w:t>
      </w:r>
      <w:r w:rsidR="00D26630" w:rsidRPr="00334FD8">
        <w:rPr>
          <w:b w:val="0"/>
          <w:bCs/>
        </w:rPr>
        <w:t>25-layer</w:t>
      </w:r>
      <w:r w:rsidR="00334FD8" w:rsidRPr="00334FD8">
        <w:rPr>
          <w:b w:val="0"/>
          <w:bCs/>
        </w:rPr>
        <w:t xml:space="preserve"> stacking, trained in an end-to-end manner, yielded the best performance in terms of MSE, with an improvement of 6% over the DCN-PD, and 64% over the LASSO logistic regression. The one-neuron DPN-SA 25-1-25 configuration was better than LASSO, but worse than all neural network-based classifiers, while the PCA-like DPN-SA 25-10-25 had performance comparable to all other networks. On the synthetic dataset, performance of all models decreased due to the artificial noise addition, but the regularization/sparsity constraints demonstrated to be robust against such noise and the additional correlated variables. The DPN-SA (25-20-10-20-25) with greedy stacked-current layer training was the best model, but only 1% better than the DCN-PD. Instead, the end-to-end training did not work as well as in the real dataset case. Overall, due to the limited sample size, the null </w:t>
      </w:r>
      <w:r w:rsidR="00334FD8" w:rsidRPr="00334FD8">
        <w:rPr>
          <w:b w:val="0"/>
          <w:bCs/>
        </w:rPr>
        <w:lastRenderedPageBreak/>
        <w:t>hypothesis of no difference could not be rejected at the 0.05 significance level for DPN-SA architectures and DCN-PD (except for the simple 25-1-25 configuration).</w:t>
      </w:r>
    </w:p>
    <w:p w14:paraId="499F5534" w14:textId="77777777" w:rsidR="002003B3" w:rsidRDefault="002F18B0" w:rsidP="002003B3">
      <w:pPr>
        <w:pStyle w:val="AMIAHeading"/>
        <w:spacing w:line="480" w:lineRule="auto"/>
        <w:jc w:val="left"/>
      </w:pPr>
      <w:r w:rsidRPr="002F18B0">
        <w:rPr>
          <w:b w:val="0"/>
          <w:bCs/>
        </w:rPr>
        <w:fldChar w:fldCharType="begin"/>
      </w:r>
      <w:r w:rsidRPr="002F18B0">
        <w:rPr>
          <w:b w:val="0"/>
          <w:bCs/>
        </w:rPr>
        <w:instrText xml:space="preserve"> REF Figure5 \h </w:instrText>
      </w:r>
      <w:r w:rsidRPr="002F18B0">
        <w:rPr>
          <w:b w:val="0"/>
          <w:bCs/>
        </w:rPr>
      </w:r>
      <w:r>
        <w:rPr>
          <w:b w:val="0"/>
          <w:bCs/>
        </w:rPr>
        <w:instrText xml:space="preserve"> \* MERGEFORMAT </w:instrText>
      </w:r>
      <w:r w:rsidRPr="002F18B0">
        <w:rPr>
          <w:b w:val="0"/>
          <w:bCs/>
        </w:rPr>
        <w:fldChar w:fldCharType="separate"/>
      </w:r>
      <w:r w:rsidRPr="002F18B0">
        <w:rPr>
          <w:b w:val="0"/>
          <w:bCs/>
        </w:rPr>
        <w:t xml:space="preserve">Figure </w:t>
      </w:r>
      <w:r w:rsidRPr="002F18B0">
        <w:rPr>
          <w:b w:val="0"/>
          <w:bCs/>
        </w:rPr>
        <w:t>5</w:t>
      </w:r>
      <w:r w:rsidRPr="002F18B0">
        <w:rPr>
          <w:b w:val="0"/>
          <w:bCs/>
        </w:rPr>
        <w:fldChar w:fldCharType="end"/>
      </w:r>
      <w:r>
        <w:rPr>
          <w:b w:val="0"/>
          <w:bCs/>
        </w:rPr>
        <w:t xml:space="preserve"> </w:t>
      </w:r>
      <w:r w:rsidR="008070B7" w:rsidRPr="008070B7">
        <w:rPr>
          <w:b w:val="0"/>
          <w:bCs/>
        </w:rPr>
        <w:t>shows the violin plots of each model's ATE estimation (real dataset), compared to the test set ATE. The DPN-SA (25-20-10-20-25) with greedy stacked-current configuration showed the closest</w:t>
      </w:r>
      <w:r w:rsidR="002003B3">
        <w:rPr>
          <w:noProof/>
        </w:rPr>
        <w:drawing>
          <wp:inline distT="0" distB="0" distL="0" distR="0" wp14:anchorId="7DBB6E41" wp14:editId="0019E852">
            <wp:extent cx="3528695" cy="3828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545729" cy="3847114"/>
                    </a:xfrm>
                    <a:prstGeom prst="rect">
                      <a:avLst/>
                    </a:prstGeom>
                  </pic:spPr>
                </pic:pic>
              </a:graphicData>
            </a:graphic>
          </wp:inline>
        </w:drawing>
      </w:r>
    </w:p>
    <w:p w14:paraId="0094988A" w14:textId="77777777" w:rsidR="002003B3" w:rsidRDefault="002003B3" w:rsidP="002003B3">
      <w:pPr>
        <w:pStyle w:val="AMIAHeading"/>
        <w:spacing w:line="480" w:lineRule="auto"/>
        <w:jc w:val="left"/>
        <w:rPr>
          <w:b w:val="0"/>
          <w:bCs/>
          <w:sz w:val="15"/>
          <w:szCs w:val="15"/>
        </w:rPr>
      </w:pPr>
      <w:r>
        <w:rPr>
          <w:b w:val="0"/>
          <w:bCs/>
          <w:sz w:val="15"/>
          <w:szCs w:val="15"/>
        </w:rPr>
        <w:t xml:space="preserve">Figure </w:t>
      </w:r>
      <w:bookmarkStart w:id="8" w:name="Figure4"/>
      <w:r>
        <w:rPr>
          <w:b w:val="0"/>
          <w:bCs/>
          <w:sz w:val="15"/>
          <w:szCs w:val="15"/>
        </w:rPr>
        <w:t>4</w:t>
      </w:r>
      <w:bookmarkEnd w:id="8"/>
      <w:r>
        <w:rPr>
          <w:b w:val="0"/>
          <w:bCs/>
          <w:sz w:val="15"/>
          <w:szCs w:val="15"/>
        </w:rPr>
        <w:t xml:space="preserve">: </w:t>
      </w:r>
      <w:r w:rsidRPr="006A6300">
        <w:rPr>
          <w:b w:val="0"/>
          <w:bCs/>
          <w:sz w:val="15"/>
          <w:szCs w:val="15"/>
        </w:rPr>
        <w:t>Scatterplots of the propensity score distributions (stratified by treatment group) comparing the DPN-SA, DCN-PD, and LASSO.</w:t>
      </w:r>
    </w:p>
    <w:p w14:paraId="0D672912" w14:textId="5FACA825" w:rsidR="002003B3" w:rsidRDefault="008070B7" w:rsidP="008070B7">
      <w:pPr>
        <w:pStyle w:val="AMIAHeading"/>
        <w:spacing w:line="480" w:lineRule="auto"/>
        <w:rPr>
          <w:b w:val="0"/>
          <w:bCs/>
        </w:rPr>
      </w:pPr>
      <w:r w:rsidRPr="008070B7">
        <w:rPr>
          <w:b w:val="0"/>
          <w:bCs/>
        </w:rPr>
        <w:t xml:space="preserve"> resemblance to the test set ATE, followed by the end-to-end and the (25-10-25) configurations that were similar to the DCN-PD. The DPN-SA (25-1-25) significantly underestimated the test set </w:t>
      </w:r>
      <w:r w:rsidR="0087439F" w:rsidRPr="008070B7">
        <w:rPr>
          <w:b w:val="0"/>
          <w:bCs/>
        </w:rPr>
        <w:t>ATE but</w:t>
      </w:r>
      <w:r w:rsidRPr="008070B7">
        <w:rPr>
          <w:b w:val="0"/>
          <w:bCs/>
        </w:rPr>
        <w:t xml:space="preserve"> was closer to the neural architectures than both logistic regression</w:t>
      </w:r>
      <w:r w:rsidR="00B743E0">
        <w:rPr>
          <w:b w:val="0"/>
          <w:bCs/>
        </w:rPr>
        <w:t xml:space="preserve"> </w:t>
      </w:r>
    </w:p>
    <w:p w14:paraId="18C16A65" w14:textId="7DF07937" w:rsidR="008070B7" w:rsidRPr="008070B7" w:rsidRDefault="008070B7" w:rsidP="008070B7">
      <w:pPr>
        <w:pStyle w:val="AMIAHeading"/>
        <w:spacing w:line="480" w:lineRule="auto"/>
        <w:rPr>
          <w:b w:val="0"/>
          <w:bCs/>
        </w:rPr>
      </w:pPr>
      <w:r w:rsidRPr="008070B7">
        <w:rPr>
          <w:b w:val="0"/>
          <w:bCs/>
        </w:rPr>
        <w:t>and LASSO that exhibited much a lower ATE. Note that the IHDP surface is nonlinear by design, so any linear estimator would be biased.</w:t>
      </w:r>
    </w:p>
    <w:p w14:paraId="4F1B705E" w14:textId="77777777" w:rsidR="008070B7" w:rsidRPr="008070B7" w:rsidRDefault="008070B7" w:rsidP="008070B7">
      <w:pPr>
        <w:pStyle w:val="AMIAHeading"/>
        <w:spacing w:line="480" w:lineRule="auto"/>
        <w:rPr>
          <w:b w:val="0"/>
          <w:bCs/>
        </w:rPr>
      </w:pPr>
    </w:p>
    <w:p w14:paraId="54BBB5C3" w14:textId="3383DB5E" w:rsidR="009A3D55" w:rsidRPr="00AE76A9" w:rsidRDefault="008070B7" w:rsidP="008070B7">
      <w:pPr>
        <w:pStyle w:val="AMIAHeading"/>
        <w:spacing w:line="480" w:lineRule="auto"/>
        <w:jc w:val="left"/>
        <w:rPr>
          <w:b w:val="0"/>
          <w:bCs/>
        </w:rPr>
      </w:pPr>
      <w:r w:rsidRPr="008070B7">
        <w:rPr>
          <w:b w:val="0"/>
          <w:bCs/>
        </w:rPr>
        <w:lastRenderedPageBreak/>
        <w:t>When comparing training times, the fastest methods were logistic regression and LASSO, followed by the DCN-PD. The DPN-SA takes more time to train than the DCN-PD, with the stacked configuration being slower than the end-to-end.</w:t>
      </w:r>
    </w:p>
    <w:p w14:paraId="2F51A807" w14:textId="77777777" w:rsidR="00A95DD5" w:rsidRDefault="000B0047" w:rsidP="000B0047">
      <w:pPr>
        <w:pStyle w:val="AMIAHeading"/>
        <w:spacing w:line="480" w:lineRule="auto"/>
        <w:jc w:val="left"/>
        <w:rPr>
          <w:b w:val="0"/>
          <w:bCs/>
          <w:sz w:val="15"/>
          <w:szCs w:val="15"/>
        </w:rPr>
      </w:pPr>
      <w:r>
        <w:rPr>
          <w:noProof/>
        </w:rPr>
        <w:drawing>
          <wp:inline distT="0" distB="0" distL="0" distR="0" wp14:anchorId="533AA9B9" wp14:editId="38118F60">
            <wp:extent cx="5943600" cy="36087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bookmarkStart w:id="9" w:name="Figure5"/>
      <w:r w:rsidR="00A95DD5">
        <w:rPr>
          <w:b w:val="0"/>
          <w:bCs/>
          <w:sz w:val="15"/>
          <w:szCs w:val="15"/>
        </w:rPr>
        <w:t xml:space="preserve">  </w:t>
      </w:r>
    </w:p>
    <w:p w14:paraId="0212562F" w14:textId="3BA11FE7" w:rsidR="00363C52" w:rsidRPr="000B0047" w:rsidRDefault="00363C52" w:rsidP="00A95DD5">
      <w:pPr>
        <w:pStyle w:val="AMIAHeading"/>
        <w:spacing w:line="480" w:lineRule="auto"/>
        <w:ind w:left="2160" w:firstLine="720"/>
        <w:jc w:val="left"/>
      </w:pPr>
      <w:r>
        <w:rPr>
          <w:b w:val="0"/>
          <w:bCs/>
          <w:sz w:val="15"/>
          <w:szCs w:val="15"/>
        </w:rPr>
        <w:t xml:space="preserve">Figure </w:t>
      </w:r>
      <w:r w:rsidR="00976340">
        <w:rPr>
          <w:b w:val="0"/>
          <w:bCs/>
          <w:sz w:val="15"/>
          <w:szCs w:val="15"/>
        </w:rPr>
        <w:t>5</w:t>
      </w:r>
      <w:bookmarkEnd w:id="9"/>
      <w:r>
        <w:rPr>
          <w:b w:val="0"/>
          <w:bCs/>
          <w:sz w:val="15"/>
          <w:szCs w:val="15"/>
        </w:rPr>
        <w:t xml:space="preserve">: </w:t>
      </w:r>
      <w:r w:rsidR="00E2524E" w:rsidRPr="00E2524E">
        <w:rPr>
          <w:b w:val="0"/>
          <w:bCs/>
          <w:sz w:val="15"/>
          <w:szCs w:val="15"/>
        </w:rPr>
        <w:t>Violin plots of average treatment effect estimation</w:t>
      </w:r>
    </w:p>
    <w:p w14:paraId="2E9E182E" w14:textId="1B2B5B11" w:rsidR="00363C52" w:rsidRDefault="00D458A2" w:rsidP="00ED147C">
      <w:pPr>
        <w:pStyle w:val="AMIAHeading"/>
        <w:spacing w:line="480" w:lineRule="auto"/>
        <w:jc w:val="left"/>
      </w:pPr>
      <w:r>
        <w:t>4 Discussion</w:t>
      </w:r>
    </w:p>
    <w:p w14:paraId="515D0CDF" w14:textId="2AA75192" w:rsidR="003247E2" w:rsidRDefault="005E1303" w:rsidP="005E1303">
      <w:pPr>
        <w:pStyle w:val="AMIAHeading"/>
        <w:spacing w:line="480" w:lineRule="auto"/>
        <w:rPr>
          <w:b w:val="0"/>
          <w:bCs/>
        </w:rPr>
      </w:pPr>
      <w:r w:rsidRPr="005E1303">
        <w:rPr>
          <w:b w:val="0"/>
          <w:bCs/>
        </w:rPr>
        <w:t xml:space="preserve">The DPN-SA architecture conjugates the ability to calculate nonlinear propensity scores with dimension </w:t>
      </w:r>
      <w:r w:rsidR="00554369" w:rsidRPr="005E1303">
        <w:rPr>
          <w:b w:val="0"/>
          <w:bCs/>
        </w:rPr>
        <w:t>reduction and</w:t>
      </w:r>
      <w:r w:rsidRPr="005E1303">
        <w:rPr>
          <w:b w:val="0"/>
          <w:bCs/>
        </w:rPr>
        <w:t xml:space="preserve"> demonstrates advantage over other methods in treatment effect estimation. In the IHDP counterfactual datasets, the response surface was made nonlinear and nonparallel across treatment groups, thus the true ATE could not be estimated by means of a single linear model.</w:t>
      </w:r>
    </w:p>
    <w:p w14:paraId="1AFAFF92" w14:textId="3582641C" w:rsidR="003247E2" w:rsidRDefault="005E1303" w:rsidP="003247E2">
      <w:pPr>
        <w:pStyle w:val="AMIAHeading"/>
        <w:spacing w:line="480" w:lineRule="auto"/>
        <w:ind w:firstLine="720"/>
        <w:rPr>
          <w:b w:val="0"/>
          <w:bCs/>
        </w:rPr>
      </w:pPr>
      <w:r w:rsidRPr="005E1303">
        <w:rPr>
          <w:b w:val="0"/>
          <w:bCs/>
        </w:rPr>
        <w:t xml:space="preserve">The DPN-SA architecture allows flexibility in configurations, from the simple 1-neuron akin to LASSO, to the single-layer PCA-like, to the multi-layer setup. All the DPN-SA multi-layer configurations gave ATE estimates close to the true ones, and even the simpler configurations yielded ATE better than the linear models. However, the advantage in MSE of DPN-SA over the DCN-PD, which also employs regularization, is small and would need to be </w:t>
      </w:r>
      <w:r w:rsidRPr="005E1303">
        <w:rPr>
          <w:b w:val="0"/>
          <w:bCs/>
        </w:rPr>
        <w:lastRenderedPageBreak/>
        <w:t>assessed on larger and more diverse datasets. The DPN-SA might be preferable because of its latent space encoding that can be directly chosen and compared (e.g. linear vs. PCA vs. more complex nonlinear setup).</w:t>
      </w:r>
    </w:p>
    <w:p w14:paraId="7A2C4E22" w14:textId="5C8DBA1D" w:rsidR="003247E2" w:rsidRDefault="005E1303" w:rsidP="003247E2">
      <w:pPr>
        <w:pStyle w:val="AMIAHeading"/>
        <w:spacing w:line="480" w:lineRule="auto"/>
        <w:ind w:firstLine="720"/>
        <w:rPr>
          <w:b w:val="0"/>
          <w:bCs/>
        </w:rPr>
      </w:pPr>
      <w:r w:rsidRPr="005E1303">
        <w:rPr>
          <w:b w:val="0"/>
          <w:bCs/>
        </w:rPr>
        <w:t xml:space="preserve">This work has some limitations. First, the choice of a </w:t>
      </w:r>
      <w:r w:rsidRPr="00075250">
        <w:rPr>
          <w:b w:val="0"/>
          <w:bCs/>
          <w:i/>
          <w:iCs/>
        </w:rPr>
        <w:t>softmax</w:t>
      </w:r>
      <w:r w:rsidRPr="005E1303">
        <w:rPr>
          <w:b w:val="0"/>
          <w:bCs/>
        </w:rPr>
        <w:t xml:space="preserve"> classifier as a replacement to the decoder is relatively simplistic, nonetheless, it provided lower MSE and </w:t>
      </w:r>
      <w:r w:rsidR="006C0A6B" w:rsidRPr="005E1303">
        <w:rPr>
          <w:b w:val="0"/>
          <w:bCs/>
        </w:rPr>
        <w:t>lower variance</w:t>
      </w:r>
      <w:r w:rsidRPr="005E1303">
        <w:rPr>
          <w:b w:val="0"/>
          <w:bCs/>
        </w:rPr>
        <w:t xml:space="preserve"> ATE. Other solutions for embedding the sparse autoencoder within the DCN-PD framework or within alternative approaches, such as ITE estimation with generalized adversarial networks</w:t>
      </w:r>
      <w:r w:rsidR="00970C73">
        <w:rPr>
          <w:b w:val="0"/>
          <w:bCs/>
        </w:rPr>
        <w:t>,</w:t>
      </w:r>
      <w:r w:rsidR="00970C73">
        <w:rPr>
          <w:b w:val="0"/>
          <w:bCs/>
        </w:rPr>
        <w:fldChar w:fldCharType="begin" w:fldLock="1"/>
      </w:r>
      <w:r w:rsidR="00144761">
        <w:rPr>
          <w:b w:val="0"/>
          <w:bCs/>
        </w:rPr>
        <w:instrText>ADDIN CSL_CITATION {"citationItems":[{"id":"ITEM-1","itemData":{"abstract":"Estimating individualized treatment effects (ITE) is a challenging task due to the need for an individual's potential outcomes to be learned from biased data and without having access to the counterfactuals. We propose a novel method for inferring ITE based on the Generative Adversarial Nets (GANs) framework. Our method, termed Generative Adversarial Nets for inference of Individualized Treatment Effects (GANITE), is motivated by the possibility that we can capture the uncertainty in the counterfactual distributions by attempting to learn them using a GAN. We generate proxies of the counterfactual outcomes using a counterfactual generator, G, and then pass these proxies to an ITE generator, I, in order to train it. By modeling both of these using the GAN framework, we are able to infer based on the factual data, while still accounting for the unseen counterfactuals. We test our method on three real-world datasets (with both binary and multiple treatments) and show that GANITE outperforms state-of-the-art methods.","author":[{"dropping-particle":"","family":"Yoon","given":"Jinsung","non-dropping-particle":"","parse-names":false,"suffix":""},{"dropping-particle":"","family":"Jordon","given":"James","non-dropping-particle":"","parse-names":false,"suffix":""},{"dropping-particle":"","family":"Schaar","given":"Mihaela","non-dropping-particle":"Van Der","parse-names":false,"suffix":""}],"id":"ITEM-1","issued":{"date-parts":[["0"]]},"title":"GANITE: ESTIMATION OF INDIVIDUALIZED TREAT-MENT EFFECTS USING GENERATIVE ADVERSARIAL NETS","type":"report"},"uris":["http://www.mendeley.com/documents/?uuid=99b5f57e-6baa-3249-b1c6-5206d365a451"]}],"mendeley":{"formattedCitation":"[41]","plainTextFormattedCitation":"[41]","previouslyFormattedCitation":"[41]"},"properties":{"noteIndex":0},"schema":"https://github.com/citation-style-language/schema/raw/master/csl-citation.json"}</w:instrText>
      </w:r>
      <w:r w:rsidR="00970C73">
        <w:rPr>
          <w:b w:val="0"/>
          <w:bCs/>
        </w:rPr>
        <w:fldChar w:fldCharType="separate"/>
      </w:r>
      <w:r w:rsidR="00970C73" w:rsidRPr="00970C73">
        <w:rPr>
          <w:b w:val="0"/>
          <w:bCs/>
          <w:noProof/>
        </w:rPr>
        <w:t>[41]</w:t>
      </w:r>
      <w:r w:rsidR="00970C73">
        <w:rPr>
          <w:b w:val="0"/>
          <w:bCs/>
        </w:rPr>
        <w:fldChar w:fldCharType="end"/>
      </w:r>
      <w:r w:rsidRPr="005E1303">
        <w:rPr>
          <w:b w:val="0"/>
          <w:bCs/>
        </w:rPr>
        <w:t xml:space="preserve"> could be devised. Another limitation is that the benchmark dataset has a limited sample size, and therefore the differences in average performance between models are subject to uncertainty. Finally, the distribution of propensity scores among treatment and control groups is often highly dependent on the dataset, and can be highly imbalanced, and therefore the results obtained with one experimental data set are not assured to be reproducible with others. </w:t>
      </w:r>
    </w:p>
    <w:p w14:paraId="69514F40" w14:textId="7BB2605B" w:rsidR="005E1303" w:rsidRPr="005E1303" w:rsidRDefault="005E1303" w:rsidP="003247E2">
      <w:pPr>
        <w:pStyle w:val="AMIAHeading"/>
        <w:spacing w:line="480" w:lineRule="auto"/>
        <w:ind w:firstLine="720"/>
        <w:rPr>
          <w:b w:val="0"/>
          <w:bCs/>
        </w:rPr>
      </w:pPr>
      <w:r w:rsidRPr="005E1303">
        <w:rPr>
          <w:b w:val="0"/>
          <w:bCs/>
        </w:rPr>
        <w:t xml:space="preserve">In conclusion, deep learning frameworks for propensity score estimation and treatment effect prediction are particularly suited for EHR-based studies, not only because such studies can include large sets of covariates, but also because there is high chance of complex heterogeneity in treatment assignments. In these cases, regularized linear propensity score methods, e.g. </w:t>
      </w:r>
      <w:proofErr w:type="spellStart"/>
      <w:r w:rsidRPr="005E1303">
        <w:rPr>
          <w:b w:val="0"/>
          <w:bCs/>
        </w:rPr>
        <w:t>hdPS</w:t>
      </w:r>
      <w:proofErr w:type="spellEnd"/>
      <w:r w:rsidR="00144761">
        <w:rPr>
          <w:b w:val="0"/>
          <w:bCs/>
        </w:rPr>
        <w:fldChar w:fldCharType="begin" w:fldLock="1"/>
      </w:r>
      <w:r w:rsidR="003204F4">
        <w:rPr>
          <w:b w:val="0"/>
          <w:bCs/>
        </w:rPr>
        <w:instrText>ADDIN CSL_CITATION {"citationItems":[{"id":"ITEM-1","itemData":{"DOI":"10.1097/EDE.0b013e3181a663cc","ISSN":"10443983","PMID":"19487948","abstract":"Background: Adjusting for large numbers of covariates ascertained from patients' health care claims data may improve control of confounding, as these variables may collectively be proxies for unobserved factors. Here, we develop and test an algorithm that empirically identifies candidate covariates, prioritizes covariates, and integrates them into a propensity-score-based confounder adjustment model.Methods: We developed a multistep algorithm to implement high-dimensional proxy adjustment in claims data. Steps include (1) identifying data dimensions, eg, diagnoses, procedures, and medications; (2) empirically identifying candidate covariates; (3) assessing recurrence of codes; (4) prioritizing covariates; (5) selecting covariates for adjustment; (6) estimating the exposure propensity score; and (7) estimating an outcome model. This algorithm was tested in Medicare claims data, including a study on the effect of cox-2 inhibitors on reduced gastric toxicity compared with nonse-lective nonsteroidal anti-inflammatory drugs (NSAIDs). Results: In a population of 49,653 new users of Cox-2 inhibitors or nonselective NSAIDs, a crude relative risk (RR) for upper GI toxicity (RR = 1.09 [95% confidence interval = 0.91-1.30]) was initially observed. Adjusting for 15 predefined covariates resulted in a possible gastroprotective effect (0.94 [0.78-1.12]). A gastropro-tective effect became stronger when adjusting for an additional 500 algorithm-derived covariates (0.88 [0.73-1.06]). Results of a study on the effect of statin on reduced mortality were similar. Using the algorithm adjustment confirmed a null finding between influenza vaccination and hip fracture (1.02 [0.85-1.21]). Conclusions: In typical pharmacoepidemiologic studies, the proposed high-dimensional propensity score resulted in improved effect estimates compared with adjustment limited to predefined covari-© 2009 by Lippincott.","author":[{"dropping-particle":"","family":"Schneeweiss","given":"Sebastian","non-dropping-particle":"","parse-names":false,"suffix":""},{"dropping-particle":"","family":"Rassen","given":"Jeremy A.","non-dropping-particle":"","parse-names":false,"suffix":""},{"dropping-particle":"","family":"Glynn","given":"Robert J.","non-dropping-particle":"","parse-names":false,"suffix":""},{"dropping-particle":"","family":"Avorn","given":"Jerry","non-dropping-particle":"","parse-names":false,"suffix":""},{"dropping-particle":"","family":"Mogun","given":"Helen","non-dropping-particle":"","parse-names":false,"suffix":""},{"dropping-particle":"","family":"Brookhart","given":"M. Alan","non-dropping-particle":"","parse-names":false,"suffix":""}],"container-title":"Epidemiology","id":"ITEM-1","issued":{"date-parts":[["2009"]]},"title":"High-dimensional propensity score adjustment in studies of treatment effects using health care claims data","type":"article-journal"},"uris":["http://www.mendeley.com/documents/?uuid=170997ff-77dd-494a-baed-ed9842e401f1"]}],"mendeley":{"formattedCitation":"[12]","plainTextFormattedCitation":"[12]","previouslyFormattedCitation":"[12]"},"properties":{"noteIndex":0},"schema":"https://github.com/citation-style-language/schema/raw/master/csl-citation.json"}</w:instrText>
      </w:r>
      <w:r w:rsidR="00144761">
        <w:rPr>
          <w:b w:val="0"/>
          <w:bCs/>
        </w:rPr>
        <w:fldChar w:fldCharType="separate"/>
      </w:r>
      <w:r w:rsidR="00144761" w:rsidRPr="00144761">
        <w:rPr>
          <w:b w:val="0"/>
          <w:bCs/>
          <w:noProof/>
        </w:rPr>
        <w:t>[12]</w:t>
      </w:r>
      <w:r w:rsidR="00144761">
        <w:rPr>
          <w:b w:val="0"/>
          <w:bCs/>
        </w:rPr>
        <w:fldChar w:fldCharType="end"/>
      </w:r>
      <w:r w:rsidRPr="005E1303">
        <w:rPr>
          <w:b w:val="0"/>
          <w:bCs/>
        </w:rPr>
        <w:t xml:space="preserve"> or LASSO</w:t>
      </w:r>
      <w:r w:rsidR="003204F4">
        <w:rPr>
          <w:b w:val="0"/>
          <w:bCs/>
        </w:rPr>
        <w:fldChar w:fldCharType="begin" w:fldLock="1"/>
      </w:r>
      <w:r w:rsidR="003204F4">
        <w:rPr>
          <w:b w:val="0"/>
          <w:bCs/>
        </w:rPr>
        <w:instrText>ADDIN CSL_CITATION {"citationItems":[{"id":"ITEM-1","itemData":{"DOI":"10.1093/ije/dyy120","ISSN":"14643685","PMID":"29939268","abstract":"Background: Propensity score adjustment is a popular approach for confounding control in observational studies. Reliable frameworks are needed to determine relative propensity score performance in large-scale studies, and to establish optimal propensity score model selection methods. Methods: We detail a propensity score evaluation framework that includes synthetic and real-world data experiments. Our synthetic experimental design extends the ‘plasmode’ framework and simulates survival data under known effect sizes, and our real-world experiments use a set of negative control outcomes with presumed null effect sizes. In reproductions of two published cohort studies, we compare two propensity score estimation methods that contrast in their model selection approach: L 1 -regularized regression that conducts a penalized likelihood regression, and the ‘high-dimensional propensity score’ (hdPS) that employs a univariate covariate screen. We evaluate methods on a range of outcome-dependent and outcome-independent metrics. Results: L 1 -regularization propensity score methods achieve superior model fit, covariate balance and negative control bias reduction compared with the hdPS. Simulation results are mixed and fluctuate with simulation parameters, revealing a limitation of simulation under the proportional hazards framework. Including regularization with the hdPS reduces commonly reported non-convergence issues but has little effect on propensity score performance. Conclusions: L 1 -regularization incorporates all covariates simultaneously into the propensity score model and offers propensity score performance superior to the hdPS marginal screen.","author":[{"dropping-particle":"","family":"Tian","given":"Yuxi","non-dropping-particle":"","parse-names":false,"suffix":""},{"dropping-particle":"","family":"Schuemie","given":"Martijn J.","non-dropping-particle":"","parse-names":false,"suffix":""},{"dropping-particle":"","family":"Suchard","given":"Marc A.","non-dropping-particle":"","parse-names":false,"suffix":""}],"container-title":"International Journal of Epidemiology","id":"ITEM-1","issue":"6","issued":{"date-parts":[["2018"]]},"page":"2005-2014","title":"Evaluating large-scale propensity score performance through real-world and synthetic data experiments","type":"article-journal","volume":"47"},"uris":["http://www.mendeley.com/documents/?uuid=416ef37a-9ef2-41cc-8fb0-32ca737d8fe0"]}],"mendeley":{"formattedCitation":"[13]","plainTextFormattedCitation":"[13]"},"properties":{"noteIndex":0},"schema":"https://github.com/citation-style-language/schema/raw/master/csl-citation.json"}</w:instrText>
      </w:r>
      <w:r w:rsidR="003204F4">
        <w:rPr>
          <w:b w:val="0"/>
          <w:bCs/>
        </w:rPr>
        <w:fldChar w:fldCharType="separate"/>
      </w:r>
      <w:r w:rsidR="003204F4" w:rsidRPr="003204F4">
        <w:rPr>
          <w:b w:val="0"/>
          <w:bCs/>
          <w:noProof/>
        </w:rPr>
        <w:t>[13]</w:t>
      </w:r>
      <w:r w:rsidR="003204F4">
        <w:rPr>
          <w:b w:val="0"/>
          <w:bCs/>
        </w:rPr>
        <w:fldChar w:fldCharType="end"/>
      </w:r>
      <w:r w:rsidRPr="005E1303">
        <w:rPr>
          <w:b w:val="0"/>
          <w:bCs/>
        </w:rPr>
        <w:t xml:space="preserve"> would not be able to provide reliable estimates and yield biased ITE/ATE. The DPN-SA provides a valid, possibly improved, alternative to DCN-PD, and to more traditional PSM methods.</w:t>
      </w:r>
    </w:p>
    <w:p w14:paraId="6DDE0331" w14:textId="66B980AD" w:rsidR="003A39AD" w:rsidRDefault="003A39AD" w:rsidP="003A39AD">
      <w:pPr>
        <w:pStyle w:val="AMIAHeading"/>
        <w:spacing w:line="480" w:lineRule="auto"/>
      </w:pPr>
      <w:r>
        <w:t>References</w:t>
      </w:r>
    </w:p>
    <w:p w14:paraId="04E5C340" w14:textId="4CCD513D" w:rsidR="003204F4" w:rsidRPr="003204F4" w:rsidRDefault="003A39AD" w:rsidP="003204F4">
      <w:pPr>
        <w:widowControl w:val="0"/>
        <w:autoSpaceDE w:val="0"/>
        <w:autoSpaceDN w:val="0"/>
        <w:adjustRightInd w:val="0"/>
        <w:spacing w:before="120" w:after="120" w:line="480" w:lineRule="auto"/>
        <w:ind w:left="640" w:hanging="640"/>
        <w:rPr>
          <w:noProof/>
          <w:sz w:val="20"/>
        </w:rPr>
      </w:pPr>
      <w:r>
        <w:fldChar w:fldCharType="begin" w:fldLock="1"/>
      </w:r>
      <w:r>
        <w:instrText xml:space="preserve">ADDIN Mendeley Bibliography CSL_BIBLIOGRAPHY </w:instrText>
      </w:r>
      <w:r>
        <w:fldChar w:fldCharType="separate"/>
      </w:r>
      <w:r w:rsidR="003204F4" w:rsidRPr="003204F4">
        <w:rPr>
          <w:noProof/>
          <w:sz w:val="20"/>
        </w:rPr>
        <w:t xml:space="preserve">1 </w:t>
      </w:r>
      <w:r w:rsidR="003204F4" w:rsidRPr="003204F4">
        <w:rPr>
          <w:noProof/>
          <w:sz w:val="20"/>
        </w:rPr>
        <w:tab/>
        <w:t xml:space="preserve">Prosperi M, Guo Y, Sperrin M, </w:t>
      </w:r>
      <w:r w:rsidR="003204F4" w:rsidRPr="003204F4">
        <w:rPr>
          <w:i/>
          <w:iCs/>
          <w:noProof/>
          <w:sz w:val="20"/>
        </w:rPr>
        <w:t>et al.</w:t>
      </w:r>
      <w:r w:rsidR="003204F4" w:rsidRPr="003204F4">
        <w:rPr>
          <w:noProof/>
          <w:sz w:val="20"/>
        </w:rPr>
        <w:t xml:space="preserve"> Causal inference and counterfactual prediction in machine learning for actionable healthcare. </w:t>
      </w:r>
      <w:r w:rsidR="003204F4" w:rsidRPr="003204F4">
        <w:rPr>
          <w:i/>
          <w:iCs/>
          <w:noProof/>
          <w:sz w:val="20"/>
        </w:rPr>
        <w:t>Nat Mach Intell</w:t>
      </w:r>
      <w:r w:rsidR="003204F4" w:rsidRPr="003204F4">
        <w:rPr>
          <w:noProof/>
          <w:sz w:val="20"/>
        </w:rPr>
        <w:t xml:space="preserve"> 2020;</w:t>
      </w:r>
      <w:r w:rsidR="003204F4" w:rsidRPr="003204F4">
        <w:rPr>
          <w:b/>
          <w:bCs/>
          <w:noProof/>
          <w:sz w:val="20"/>
        </w:rPr>
        <w:t>2</w:t>
      </w:r>
      <w:r w:rsidR="003204F4" w:rsidRPr="003204F4">
        <w:rPr>
          <w:noProof/>
          <w:sz w:val="20"/>
        </w:rPr>
        <w:t>:369–75. doi:10.1038/s42256-020-0197-y</w:t>
      </w:r>
    </w:p>
    <w:p w14:paraId="7D802B9D"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 </w:t>
      </w:r>
      <w:r w:rsidRPr="003204F4">
        <w:rPr>
          <w:noProof/>
          <w:sz w:val="20"/>
        </w:rPr>
        <w:tab/>
        <w:t xml:space="preserve">Sibbald B, Roland M. 24 Herman JL. Histories of violence in an outpatient population: an exploratory study. 1994. </w:t>
      </w:r>
    </w:p>
    <w:p w14:paraId="39161D2C"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 </w:t>
      </w:r>
      <w:r w:rsidRPr="003204F4">
        <w:rPr>
          <w:noProof/>
          <w:sz w:val="20"/>
        </w:rPr>
        <w:tab/>
        <w:t xml:space="preserve">Concato J, Shah N, Horwitz RI. Randomized, controlled trials, observational studies, and the hierarchy of research designs. </w:t>
      </w:r>
      <w:r w:rsidRPr="003204F4">
        <w:rPr>
          <w:i/>
          <w:iCs/>
          <w:noProof/>
          <w:sz w:val="20"/>
        </w:rPr>
        <w:t>N Engl J Med</w:t>
      </w:r>
      <w:r w:rsidRPr="003204F4">
        <w:rPr>
          <w:noProof/>
          <w:sz w:val="20"/>
        </w:rPr>
        <w:t xml:space="preserve"> 2000;</w:t>
      </w:r>
      <w:r w:rsidRPr="003204F4">
        <w:rPr>
          <w:b/>
          <w:bCs/>
          <w:noProof/>
          <w:sz w:val="20"/>
        </w:rPr>
        <w:t>342</w:t>
      </w:r>
      <w:r w:rsidRPr="003204F4">
        <w:rPr>
          <w:noProof/>
          <w:sz w:val="20"/>
        </w:rPr>
        <w:t>:1887–92. doi:10.1056/NEJM200006223422507</w:t>
      </w:r>
    </w:p>
    <w:p w14:paraId="2069F3A2"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4 </w:t>
      </w:r>
      <w:r w:rsidRPr="003204F4">
        <w:rPr>
          <w:noProof/>
          <w:sz w:val="20"/>
        </w:rPr>
        <w:tab/>
        <w:t>Rosenbaum PR, Rubin DB. The central role of the propensity score in observational studies for causal effects. 1083. https://academic.oup.com/biomet/article-abstract/70/1/41/240879 (accessed 21 Jul 2020).</w:t>
      </w:r>
    </w:p>
    <w:p w14:paraId="1BB44EBE"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5 </w:t>
      </w:r>
      <w:r w:rsidRPr="003204F4">
        <w:rPr>
          <w:noProof/>
          <w:sz w:val="20"/>
        </w:rPr>
        <w:tab/>
        <w:t xml:space="preserve">Pearl J, Glymour M, Jewell NP. Counterfactuals and their applications. </w:t>
      </w:r>
      <w:r w:rsidRPr="003204F4">
        <w:rPr>
          <w:i/>
          <w:iCs/>
          <w:noProof/>
          <w:sz w:val="20"/>
        </w:rPr>
        <w:t>Causal Inference Stat A Prim</w:t>
      </w:r>
      <w:r w:rsidRPr="003204F4">
        <w:rPr>
          <w:noProof/>
          <w:sz w:val="20"/>
        </w:rPr>
        <w:t xml:space="preserve"> 2016.</w:t>
      </w:r>
    </w:p>
    <w:p w14:paraId="6F3D8E0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lastRenderedPageBreak/>
        <w:t xml:space="preserve">6 </w:t>
      </w:r>
      <w:r w:rsidRPr="003204F4">
        <w:rPr>
          <w:noProof/>
          <w:sz w:val="20"/>
        </w:rPr>
        <w:tab/>
        <w:t xml:space="preserve">Hernán MA, Robins JM. Causal Inference Part1. </w:t>
      </w:r>
      <w:r w:rsidRPr="003204F4">
        <w:rPr>
          <w:i/>
          <w:iCs/>
          <w:noProof/>
          <w:sz w:val="20"/>
        </w:rPr>
        <w:t>Causal Inference</w:t>
      </w:r>
      <w:r w:rsidRPr="003204F4">
        <w:rPr>
          <w:noProof/>
          <w:sz w:val="20"/>
        </w:rPr>
        <w:t xml:space="preserve"> Published Online First: 2010. doi:10.1177/1745691610383511</w:t>
      </w:r>
    </w:p>
    <w:p w14:paraId="277EE642"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7 </w:t>
      </w:r>
      <w:r w:rsidRPr="003204F4">
        <w:rPr>
          <w:noProof/>
          <w:sz w:val="20"/>
        </w:rPr>
        <w:tab/>
        <w:t xml:space="preserve">Greenland S, Morgenstern H. Confounding in Health Research. </w:t>
      </w:r>
      <w:r w:rsidRPr="003204F4">
        <w:rPr>
          <w:i/>
          <w:iCs/>
          <w:noProof/>
          <w:sz w:val="20"/>
        </w:rPr>
        <w:t>Annu Rev Public Health</w:t>
      </w:r>
      <w:r w:rsidRPr="003204F4">
        <w:rPr>
          <w:noProof/>
          <w:sz w:val="20"/>
        </w:rPr>
        <w:t xml:space="preserve"> 2001;</w:t>
      </w:r>
      <w:r w:rsidRPr="003204F4">
        <w:rPr>
          <w:b/>
          <w:bCs/>
          <w:noProof/>
          <w:sz w:val="20"/>
        </w:rPr>
        <w:t>22</w:t>
      </w:r>
      <w:r w:rsidRPr="003204F4">
        <w:rPr>
          <w:noProof/>
          <w:sz w:val="20"/>
        </w:rPr>
        <w:t>:189–212. doi:10.1146/annurev.publhealth.22.1.189</w:t>
      </w:r>
    </w:p>
    <w:p w14:paraId="4A54368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8 </w:t>
      </w:r>
      <w:r w:rsidRPr="003204F4">
        <w:rPr>
          <w:noProof/>
          <w:sz w:val="20"/>
        </w:rPr>
        <w:tab/>
        <w:t xml:space="preserve">Rosenbaum PR, Rubin DB. Reducing Bias in Observational Studies Using Subclassification on the Propensity Score. </w:t>
      </w:r>
      <w:r w:rsidRPr="003204F4">
        <w:rPr>
          <w:i/>
          <w:iCs/>
          <w:noProof/>
          <w:sz w:val="20"/>
        </w:rPr>
        <w:t>J Am Stat Assoc</w:t>
      </w:r>
      <w:r w:rsidRPr="003204F4">
        <w:rPr>
          <w:noProof/>
          <w:sz w:val="20"/>
        </w:rPr>
        <w:t xml:space="preserve"> 1984;</w:t>
      </w:r>
      <w:r w:rsidRPr="003204F4">
        <w:rPr>
          <w:b/>
          <w:bCs/>
          <w:noProof/>
          <w:sz w:val="20"/>
        </w:rPr>
        <w:t>79</w:t>
      </w:r>
      <w:r w:rsidRPr="003204F4">
        <w:rPr>
          <w:noProof/>
          <w:sz w:val="20"/>
        </w:rPr>
        <w:t>:516. doi:10.2307/2288398</w:t>
      </w:r>
    </w:p>
    <w:p w14:paraId="1BBD0754"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9 </w:t>
      </w:r>
      <w:r w:rsidRPr="003204F4">
        <w:rPr>
          <w:noProof/>
          <w:sz w:val="20"/>
        </w:rPr>
        <w:tab/>
        <w:t xml:space="preserve">Garrido MM, Kelley AS, Paris J, </w:t>
      </w:r>
      <w:r w:rsidRPr="003204F4">
        <w:rPr>
          <w:i/>
          <w:iCs/>
          <w:noProof/>
          <w:sz w:val="20"/>
        </w:rPr>
        <w:t>et al.</w:t>
      </w:r>
      <w:r w:rsidRPr="003204F4">
        <w:rPr>
          <w:noProof/>
          <w:sz w:val="20"/>
        </w:rPr>
        <w:t xml:space="preserve"> Methods for Constructing and Assessing Propensity Scores. doi:10.1111/1475-6773.12182</w:t>
      </w:r>
    </w:p>
    <w:p w14:paraId="3DCEE806"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10 </w:t>
      </w:r>
      <w:r w:rsidRPr="003204F4">
        <w:rPr>
          <w:noProof/>
          <w:sz w:val="20"/>
        </w:rPr>
        <w:tab/>
        <w:t xml:space="preserve">Kurth T, Walker AM, Glynn RJ, </w:t>
      </w:r>
      <w:r w:rsidRPr="003204F4">
        <w:rPr>
          <w:i/>
          <w:iCs/>
          <w:noProof/>
          <w:sz w:val="20"/>
        </w:rPr>
        <w:t>et al.</w:t>
      </w:r>
      <w:r w:rsidRPr="003204F4">
        <w:rPr>
          <w:noProof/>
          <w:sz w:val="20"/>
        </w:rPr>
        <w:t xml:space="preserve"> Results of multivariable logistic regression, propensity matching, propensity adjustment, and propensity-based weighting under conditions of nonuniform effect. </w:t>
      </w:r>
      <w:r w:rsidRPr="003204F4">
        <w:rPr>
          <w:i/>
          <w:iCs/>
          <w:noProof/>
          <w:sz w:val="20"/>
        </w:rPr>
        <w:t>Am J Epidemiol</w:t>
      </w:r>
      <w:r w:rsidRPr="003204F4">
        <w:rPr>
          <w:noProof/>
          <w:sz w:val="20"/>
        </w:rPr>
        <w:t xml:space="preserve"> Published Online First: 2006. doi:10.1093/aje/kwj047</w:t>
      </w:r>
    </w:p>
    <w:p w14:paraId="45A8051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11 </w:t>
      </w:r>
      <w:r w:rsidRPr="003204F4">
        <w:rPr>
          <w:noProof/>
          <w:sz w:val="20"/>
        </w:rPr>
        <w:tab/>
        <w:t xml:space="preserve">Prosperi M, Min JS, Bian J, </w:t>
      </w:r>
      <w:r w:rsidRPr="003204F4">
        <w:rPr>
          <w:i/>
          <w:iCs/>
          <w:noProof/>
          <w:sz w:val="20"/>
        </w:rPr>
        <w:t>et al.</w:t>
      </w:r>
      <w:r w:rsidRPr="003204F4">
        <w:rPr>
          <w:noProof/>
          <w:sz w:val="20"/>
        </w:rPr>
        <w:t xml:space="preserve"> Big data hurdles in precision medicine and precision public health. doi:10.1186/s12911-018-0719-2</w:t>
      </w:r>
    </w:p>
    <w:p w14:paraId="59D85E88"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12 </w:t>
      </w:r>
      <w:r w:rsidRPr="003204F4">
        <w:rPr>
          <w:noProof/>
          <w:sz w:val="20"/>
        </w:rPr>
        <w:tab/>
        <w:t xml:space="preserve">Schneeweiss S, Rassen JA, Glynn RJ, </w:t>
      </w:r>
      <w:r w:rsidRPr="003204F4">
        <w:rPr>
          <w:i/>
          <w:iCs/>
          <w:noProof/>
          <w:sz w:val="20"/>
        </w:rPr>
        <w:t>et al.</w:t>
      </w:r>
      <w:r w:rsidRPr="003204F4">
        <w:rPr>
          <w:noProof/>
          <w:sz w:val="20"/>
        </w:rPr>
        <w:t xml:space="preserve"> High-dimensional propensity score adjustment in studies of treatment effects using health care claims data. </w:t>
      </w:r>
      <w:r w:rsidRPr="003204F4">
        <w:rPr>
          <w:i/>
          <w:iCs/>
          <w:noProof/>
          <w:sz w:val="20"/>
        </w:rPr>
        <w:t>Epidemiology</w:t>
      </w:r>
      <w:r w:rsidRPr="003204F4">
        <w:rPr>
          <w:noProof/>
          <w:sz w:val="20"/>
        </w:rPr>
        <w:t xml:space="preserve"> Published Online First: 2009. doi:10.1097/EDE.0b013e3181a663cc</w:t>
      </w:r>
    </w:p>
    <w:p w14:paraId="5CAF6810"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13 </w:t>
      </w:r>
      <w:r w:rsidRPr="003204F4">
        <w:rPr>
          <w:noProof/>
          <w:sz w:val="20"/>
        </w:rPr>
        <w:tab/>
        <w:t xml:space="preserve">Tian Y, Schuemie MJ, Suchard MA. Evaluating large-scale propensity score performance through real-world and synthetic data experiments. </w:t>
      </w:r>
      <w:r w:rsidRPr="003204F4">
        <w:rPr>
          <w:i/>
          <w:iCs/>
          <w:noProof/>
          <w:sz w:val="20"/>
        </w:rPr>
        <w:t>Int J Epidemiol</w:t>
      </w:r>
      <w:r w:rsidRPr="003204F4">
        <w:rPr>
          <w:noProof/>
          <w:sz w:val="20"/>
        </w:rPr>
        <w:t xml:space="preserve"> 2018;</w:t>
      </w:r>
      <w:r w:rsidRPr="003204F4">
        <w:rPr>
          <w:b/>
          <w:bCs/>
          <w:noProof/>
          <w:sz w:val="20"/>
        </w:rPr>
        <w:t>47</w:t>
      </w:r>
      <w:r w:rsidRPr="003204F4">
        <w:rPr>
          <w:noProof/>
          <w:sz w:val="20"/>
        </w:rPr>
        <w:t>:2005–14. doi:10.1093/ije/dyy120</w:t>
      </w:r>
    </w:p>
    <w:p w14:paraId="503813CA"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14 </w:t>
      </w:r>
      <w:r w:rsidRPr="003204F4">
        <w:rPr>
          <w:noProof/>
          <w:sz w:val="20"/>
        </w:rPr>
        <w:tab/>
        <w:t xml:space="preserve">Barron AR. Approximation and Estimation Bounds for Artificial Neural Networks. </w:t>
      </w:r>
      <w:r w:rsidRPr="003204F4">
        <w:rPr>
          <w:i/>
          <w:iCs/>
          <w:noProof/>
          <w:sz w:val="20"/>
        </w:rPr>
        <w:t>Mach Learn</w:t>
      </w:r>
      <w:r w:rsidRPr="003204F4">
        <w:rPr>
          <w:noProof/>
          <w:sz w:val="20"/>
        </w:rPr>
        <w:t xml:space="preserve"> Published Online First: 1994. doi:10.1023/A:1022650905902</w:t>
      </w:r>
    </w:p>
    <w:p w14:paraId="125C0E64"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15 </w:t>
      </w:r>
      <w:r w:rsidRPr="003204F4">
        <w:rPr>
          <w:noProof/>
          <w:sz w:val="20"/>
        </w:rPr>
        <w:tab/>
        <w:t xml:space="preserve">Bishop CM. </w:t>
      </w:r>
      <w:r w:rsidRPr="003204F4">
        <w:rPr>
          <w:i/>
          <w:iCs/>
          <w:noProof/>
          <w:sz w:val="20"/>
        </w:rPr>
        <w:t>Pattern recognition and machine learning / Christopher M. Bishop.</w:t>
      </w:r>
      <w:r w:rsidRPr="003204F4">
        <w:rPr>
          <w:noProof/>
          <w:sz w:val="20"/>
        </w:rPr>
        <w:t xml:space="preserve"> 2006. doi:10.1117/1.2819119</w:t>
      </w:r>
    </w:p>
    <w:p w14:paraId="70A0DC48"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16 </w:t>
      </w:r>
      <w:r w:rsidRPr="003204F4">
        <w:rPr>
          <w:noProof/>
          <w:sz w:val="20"/>
        </w:rPr>
        <w:tab/>
        <w:t xml:space="preserve">Mhaskar HN. Neural Networks for Optimal Approximation of Smooth and Analytic Functions. </w:t>
      </w:r>
      <w:r w:rsidRPr="003204F4">
        <w:rPr>
          <w:i/>
          <w:iCs/>
          <w:noProof/>
          <w:sz w:val="20"/>
        </w:rPr>
        <w:t>Neural Comput</w:t>
      </w:r>
      <w:r w:rsidRPr="003204F4">
        <w:rPr>
          <w:noProof/>
          <w:sz w:val="20"/>
        </w:rPr>
        <w:t xml:space="preserve"> Published Online First: 1996. doi:10.1162/neco.1996.8.1.164</w:t>
      </w:r>
    </w:p>
    <w:p w14:paraId="662F9AB5"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17 </w:t>
      </w:r>
      <w:r w:rsidRPr="003204F4">
        <w:rPr>
          <w:noProof/>
          <w:sz w:val="20"/>
        </w:rPr>
        <w:tab/>
        <w:t xml:space="preserve">Alaa AM, Weisz M, van der Schaar M. Deep Counterfactual Networks with Propensity-Dropout. Published </w:t>
      </w:r>
      <w:r w:rsidRPr="003204F4">
        <w:rPr>
          <w:noProof/>
          <w:sz w:val="20"/>
        </w:rPr>
        <w:lastRenderedPageBreak/>
        <w:t>Online First: 2017.http://arxiv.org/abs/1706.05966</w:t>
      </w:r>
    </w:p>
    <w:p w14:paraId="4B4F08F7"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18 </w:t>
      </w:r>
      <w:r w:rsidRPr="003204F4">
        <w:rPr>
          <w:noProof/>
          <w:sz w:val="20"/>
        </w:rPr>
        <w:tab/>
        <w:t xml:space="preserve">Gal Y, Ghahramani Z. Dropout as a Bayesian approximation: Representing model uncertainty in deep learning. In: </w:t>
      </w:r>
      <w:r w:rsidRPr="003204F4">
        <w:rPr>
          <w:i/>
          <w:iCs/>
          <w:noProof/>
          <w:sz w:val="20"/>
        </w:rPr>
        <w:t>33rd International Conference on Machine Learning, ICML 2016</w:t>
      </w:r>
      <w:r w:rsidRPr="003204F4">
        <w:rPr>
          <w:noProof/>
          <w:sz w:val="20"/>
        </w:rPr>
        <w:t xml:space="preserve">. 2016. </w:t>
      </w:r>
    </w:p>
    <w:p w14:paraId="3217C532"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19 </w:t>
      </w:r>
      <w:r w:rsidRPr="003204F4">
        <w:rPr>
          <w:noProof/>
          <w:sz w:val="20"/>
        </w:rPr>
        <w:tab/>
        <w:t xml:space="preserve">Ng A. CS294A Lecture notes Sparse autoencoder. </w:t>
      </w:r>
    </w:p>
    <w:p w14:paraId="54F4E45B"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20 </w:t>
      </w:r>
      <w:r w:rsidRPr="003204F4">
        <w:rPr>
          <w:noProof/>
          <w:sz w:val="20"/>
        </w:rPr>
        <w:tab/>
        <w:t xml:space="preserve">Rubin DB. Estimating causal effects of treatments in randomized and nonrandomized studies. </w:t>
      </w:r>
      <w:r w:rsidRPr="003204F4">
        <w:rPr>
          <w:i/>
          <w:iCs/>
          <w:noProof/>
          <w:sz w:val="20"/>
        </w:rPr>
        <w:t>J Educ Psychol</w:t>
      </w:r>
      <w:r w:rsidRPr="003204F4">
        <w:rPr>
          <w:noProof/>
          <w:sz w:val="20"/>
        </w:rPr>
        <w:t xml:space="preserve"> 1974;</w:t>
      </w:r>
      <w:r w:rsidRPr="003204F4">
        <w:rPr>
          <w:b/>
          <w:bCs/>
          <w:noProof/>
          <w:sz w:val="20"/>
        </w:rPr>
        <w:t>66</w:t>
      </w:r>
      <w:r w:rsidRPr="003204F4">
        <w:rPr>
          <w:noProof/>
          <w:sz w:val="20"/>
        </w:rPr>
        <w:t>:688–701. doi:10.1037/h0037350</w:t>
      </w:r>
    </w:p>
    <w:p w14:paraId="51E9650D"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21 </w:t>
      </w:r>
      <w:r w:rsidRPr="003204F4">
        <w:rPr>
          <w:noProof/>
          <w:sz w:val="20"/>
        </w:rPr>
        <w:tab/>
        <w:t xml:space="preserve">Rubin DB. Causal inference using potential outcomes: Design, modeling, decisions. </w:t>
      </w:r>
      <w:r w:rsidRPr="003204F4">
        <w:rPr>
          <w:i/>
          <w:iCs/>
          <w:noProof/>
          <w:sz w:val="20"/>
        </w:rPr>
        <w:t>J Am Stat Assoc</w:t>
      </w:r>
      <w:r w:rsidRPr="003204F4">
        <w:rPr>
          <w:noProof/>
          <w:sz w:val="20"/>
        </w:rPr>
        <w:t xml:space="preserve"> 2005;</w:t>
      </w:r>
      <w:r w:rsidRPr="003204F4">
        <w:rPr>
          <w:b/>
          <w:bCs/>
          <w:noProof/>
          <w:sz w:val="20"/>
        </w:rPr>
        <w:t>100</w:t>
      </w:r>
      <w:r w:rsidRPr="003204F4">
        <w:rPr>
          <w:noProof/>
          <w:sz w:val="20"/>
        </w:rPr>
        <w:t>:322–31. doi:10.1198/016214504000001880</w:t>
      </w:r>
    </w:p>
    <w:p w14:paraId="01D69671"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22 </w:t>
      </w:r>
      <w:r w:rsidRPr="003204F4">
        <w:rPr>
          <w:noProof/>
          <w:sz w:val="20"/>
        </w:rPr>
        <w:tab/>
        <w:t xml:space="preserve">Imbens GW. The role of the propensity score in estimating dose-response functions. </w:t>
      </w:r>
      <w:r w:rsidRPr="003204F4">
        <w:rPr>
          <w:i/>
          <w:iCs/>
          <w:noProof/>
          <w:sz w:val="20"/>
        </w:rPr>
        <w:t>Biometrika</w:t>
      </w:r>
      <w:r w:rsidRPr="003204F4">
        <w:rPr>
          <w:noProof/>
          <w:sz w:val="20"/>
        </w:rPr>
        <w:t xml:space="preserve"> Published Online First: 2000. doi:10.1093/biomet/87.3.706</w:t>
      </w:r>
    </w:p>
    <w:p w14:paraId="2056240D"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23 </w:t>
      </w:r>
      <w:r w:rsidRPr="003204F4">
        <w:rPr>
          <w:noProof/>
          <w:sz w:val="20"/>
        </w:rPr>
        <w:tab/>
        <w:t>Lechner M. Identification and estimation of causal effects of multiple treatments under the conditional independence assumption. 2001. doi:10.1007/978-3-642-57615-7_3</w:t>
      </w:r>
    </w:p>
    <w:p w14:paraId="23B1C6A4"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24 </w:t>
      </w:r>
      <w:r w:rsidRPr="003204F4">
        <w:rPr>
          <w:noProof/>
          <w:sz w:val="20"/>
        </w:rPr>
        <w:tab/>
        <w:t xml:space="preserve">Janzing D, Schölkopf B. Elements of Causal Inference Foundations and Learning Algorithms. </w:t>
      </w:r>
    </w:p>
    <w:p w14:paraId="761E49BB"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25 </w:t>
      </w:r>
      <w:r w:rsidRPr="003204F4">
        <w:rPr>
          <w:noProof/>
          <w:sz w:val="20"/>
        </w:rPr>
        <w:tab/>
        <w:t xml:space="preserve">Austin PC. A comparison of 12 algorithms for matching on the propensity score. </w:t>
      </w:r>
      <w:r w:rsidRPr="003204F4">
        <w:rPr>
          <w:i/>
          <w:iCs/>
          <w:noProof/>
          <w:sz w:val="20"/>
        </w:rPr>
        <w:t>Stat Med</w:t>
      </w:r>
      <w:r w:rsidRPr="003204F4">
        <w:rPr>
          <w:noProof/>
          <w:sz w:val="20"/>
        </w:rPr>
        <w:t xml:space="preserve"> 2014;</w:t>
      </w:r>
      <w:r w:rsidRPr="003204F4">
        <w:rPr>
          <w:b/>
          <w:bCs/>
          <w:noProof/>
          <w:sz w:val="20"/>
        </w:rPr>
        <w:t>33</w:t>
      </w:r>
      <w:r w:rsidRPr="003204F4">
        <w:rPr>
          <w:noProof/>
          <w:sz w:val="20"/>
        </w:rPr>
        <w:t>:1057–69. doi:10.1002/sim.6004</w:t>
      </w:r>
    </w:p>
    <w:p w14:paraId="02FF8811"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26 </w:t>
      </w:r>
      <w:r w:rsidRPr="003204F4">
        <w:rPr>
          <w:noProof/>
          <w:sz w:val="20"/>
        </w:rPr>
        <w:tab/>
        <w:t xml:space="preserve">Abadie A, Imbens GW. Matching on the Estimated Propensity Score. </w:t>
      </w:r>
      <w:r w:rsidRPr="003204F4">
        <w:rPr>
          <w:i/>
          <w:iCs/>
          <w:noProof/>
          <w:sz w:val="20"/>
        </w:rPr>
        <w:t>Econometrica</w:t>
      </w:r>
      <w:r w:rsidRPr="003204F4">
        <w:rPr>
          <w:noProof/>
          <w:sz w:val="20"/>
        </w:rPr>
        <w:t xml:space="preserve"> 2016;</w:t>
      </w:r>
      <w:r w:rsidRPr="003204F4">
        <w:rPr>
          <w:b/>
          <w:bCs/>
          <w:noProof/>
          <w:sz w:val="20"/>
        </w:rPr>
        <w:t>84</w:t>
      </w:r>
      <w:r w:rsidRPr="003204F4">
        <w:rPr>
          <w:noProof/>
          <w:sz w:val="20"/>
        </w:rPr>
        <w:t>:781–807. doi:10.3982/ecta11293</w:t>
      </w:r>
    </w:p>
    <w:p w14:paraId="2013B4D7"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27 </w:t>
      </w:r>
      <w:r w:rsidRPr="003204F4">
        <w:rPr>
          <w:noProof/>
          <w:sz w:val="20"/>
        </w:rPr>
        <w:tab/>
        <w:t xml:space="preserve">Zhang H, He Z, He X, </w:t>
      </w:r>
      <w:r w:rsidRPr="003204F4">
        <w:rPr>
          <w:i/>
          <w:iCs/>
          <w:noProof/>
          <w:sz w:val="20"/>
        </w:rPr>
        <w:t>et al.</w:t>
      </w:r>
      <w:r w:rsidRPr="003204F4">
        <w:rPr>
          <w:noProof/>
          <w:sz w:val="20"/>
        </w:rPr>
        <w:t xml:space="preserve"> Computable Eligibility Criteria through Ontology-driven Data Access: A Case Study of Hepatitis C Virus Trials. </w:t>
      </w:r>
      <w:r w:rsidRPr="003204F4">
        <w:rPr>
          <w:i/>
          <w:iCs/>
          <w:noProof/>
          <w:sz w:val="20"/>
        </w:rPr>
        <w:t>AMIA . Annu Symp proceedings AMIA Symp</w:t>
      </w:r>
      <w:r w:rsidRPr="003204F4">
        <w:rPr>
          <w:noProof/>
          <w:sz w:val="20"/>
        </w:rPr>
        <w:t xml:space="preserve"> 2018.</w:t>
      </w:r>
    </w:p>
    <w:p w14:paraId="2F0D6C95"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28 </w:t>
      </w:r>
      <w:r w:rsidRPr="003204F4">
        <w:rPr>
          <w:noProof/>
          <w:sz w:val="20"/>
        </w:rPr>
        <w:tab/>
        <w:t xml:space="preserve">Li Q, He Z, Guo Y, </w:t>
      </w:r>
      <w:r w:rsidRPr="003204F4">
        <w:rPr>
          <w:i/>
          <w:iCs/>
          <w:noProof/>
          <w:sz w:val="20"/>
        </w:rPr>
        <w:t>et al.</w:t>
      </w:r>
      <w:r w:rsidRPr="003204F4">
        <w:rPr>
          <w:noProof/>
          <w:sz w:val="20"/>
        </w:rPr>
        <w:t xml:space="preserve"> Assessing the Validity of a a priori Patient-Trial Generalizability Score using Real-world Data from a Large Clinical Data Research Network: A Colorectal Cancer Clinical Trial Case Study. </w:t>
      </w:r>
    </w:p>
    <w:p w14:paraId="310B5DC1"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29 </w:t>
      </w:r>
      <w:r w:rsidRPr="003204F4">
        <w:rPr>
          <w:noProof/>
          <w:sz w:val="20"/>
        </w:rPr>
        <w:tab/>
        <w:t xml:space="preserve">Hinton GE, Salakhutdinov RR. Reducing the dimensionality of data with neural networks. </w:t>
      </w:r>
      <w:r w:rsidRPr="003204F4">
        <w:rPr>
          <w:i/>
          <w:iCs/>
          <w:noProof/>
          <w:sz w:val="20"/>
        </w:rPr>
        <w:t>Science (80- )</w:t>
      </w:r>
      <w:r w:rsidRPr="003204F4">
        <w:rPr>
          <w:noProof/>
          <w:sz w:val="20"/>
        </w:rPr>
        <w:t xml:space="preserve"> Published Online First: 2006. doi:10.1126/science.1127647</w:t>
      </w:r>
    </w:p>
    <w:p w14:paraId="1C1895D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30 </w:t>
      </w:r>
      <w:r w:rsidRPr="003204F4">
        <w:rPr>
          <w:noProof/>
          <w:sz w:val="20"/>
        </w:rPr>
        <w:tab/>
        <w:t xml:space="preserve">Hinton GE, Zemel RS. Autoencoders, Minimum Description Length and Helmholtz free Energy. </w:t>
      </w:r>
      <w:r w:rsidRPr="003204F4">
        <w:rPr>
          <w:i/>
          <w:iCs/>
          <w:noProof/>
          <w:sz w:val="20"/>
        </w:rPr>
        <w:t xml:space="preserve">Adv </w:t>
      </w:r>
      <w:r w:rsidRPr="003204F4">
        <w:rPr>
          <w:i/>
          <w:iCs/>
          <w:noProof/>
          <w:sz w:val="20"/>
        </w:rPr>
        <w:lastRenderedPageBreak/>
        <w:t>Neural Inf Process Syst</w:t>
      </w:r>
      <w:r w:rsidRPr="003204F4">
        <w:rPr>
          <w:noProof/>
          <w:sz w:val="20"/>
        </w:rPr>
        <w:t xml:space="preserve"> Published Online First: 1994. doi:10.1021/jp906511z</w:t>
      </w:r>
    </w:p>
    <w:p w14:paraId="76396C6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31 </w:t>
      </w:r>
      <w:r w:rsidRPr="003204F4">
        <w:rPr>
          <w:noProof/>
          <w:sz w:val="20"/>
        </w:rPr>
        <w:tab/>
        <w:t xml:space="preserve">Zhou Y, Arpit D, Nwogu I, </w:t>
      </w:r>
      <w:r w:rsidRPr="003204F4">
        <w:rPr>
          <w:i/>
          <w:iCs/>
          <w:noProof/>
          <w:sz w:val="20"/>
        </w:rPr>
        <w:t>et al.</w:t>
      </w:r>
      <w:r w:rsidRPr="003204F4">
        <w:rPr>
          <w:noProof/>
          <w:sz w:val="20"/>
        </w:rPr>
        <w:t xml:space="preserve"> Is Joint Training Better for Deep Auto-Encoders? </w:t>
      </w:r>
    </w:p>
    <w:p w14:paraId="1400FC65"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32 </w:t>
      </w:r>
      <w:r w:rsidRPr="003204F4">
        <w:rPr>
          <w:noProof/>
          <w:sz w:val="20"/>
        </w:rPr>
        <w:tab/>
        <w:t xml:space="preserve">Cho K, van Merrienboer B, Bahdanau D, </w:t>
      </w:r>
      <w:r w:rsidRPr="003204F4">
        <w:rPr>
          <w:i/>
          <w:iCs/>
          <w:noProof/>
          <w:sz w:val="20"/>
        </w:rPr>
        <w:t>et al.</w:t>
      </w:r>
      <w:r w:rsidRPr="003204F4">
        <w:rPr>
          <w:noProof/>
          <w:sz w:val="20"/>
        </w:rPr>
        <w:t xml:space="preserve"> On the Properties of Neural Machine Translation: Encoder–Decoder Approaches. 2015. doi:10.3115/v1/w14-4012</w:t>
      </w:r>
    </w:p>
    <w:p w14:paraId="04DF791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33 </w:t>
      </w:r>
      <w:r w:rsidRPr="003204F4">
        <w:rPr>
          <w:noProof/>
          <w:sz w:val="20"/>
        </w:rPr>
        <w:tab/>
        <w:t xml:space="preserve">Zhavoronkov A, Ivanenkov YA, Aliper A, </w:t>
      </w:r>
      <w:r w:rsidRPr="003204F4">
        <w:rPr>
          <w:i/>
          <w:iCs/>
          <w:noProof/>
          <w:sz w:val="20"/>
        </w:rPr>
        <w:t>et al.</w:t>
      </w:r>
      <w:r w:rsidRPr="003204F4">
        <w:rPr>
          <w:noProof/>
          <w:sz w:val="20"/>
        </w:rPr>
        <w:t xml:space="preserve"> Deep learning enables rapid identification of potent DDR1 kinase inhibitors. </w:t>
      </w:r>
      <w:r w:rsidRPr="003204F4">
        <w:rPr>
          <w:i/>
          <w:iCs/>
          <w:noProof/>
          <w:sz w:val="20"/>
        </w:rPr>
        <w:t>Nat Biotechnol</w:t>
      </w:r>
      <w:r w:rsidRPr="003204F4">
        <w:rPr>
          <w:noProof/>
          <w:sz w:val="20"/>
        </w:rPr>
        <w:t xml:space="preserve"> Published Online First: 2019. doi:10.1038/s41587-019-0224-x</w:t>
      </w:r>
    </w:p>
    <w:p w14:paraId="0C3575B9"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34 </w:t>
      </w:r>
      <w:r w:rsidRPr="003204F4">
        <w:rPr>
          <w:noProof/>
          <w:sz w:val="20"/>
        </w:rPr>
        <w:tab/>
        <w:t xml:space="preserve">Makhzani A, Frey B. k-Sparse autoencoders. In: </w:t>
      </w:r>
      <w:r w:rsidRPr="003204F4">
        <w:rPr>
          <w:i/>
          <w:iCs/>
          <w:noProof/>
          <w:sz w:val="20"/>
        </w:rPr>
        <w:t>2nd International Conference on Learning Representations, ICLR 2014 - Conference Track Proceedings</w:t>
      </w:r>
      <w:r w:rsidRPr="003204F4">
        <w:rPr>
          <w:noProof/>
          <w:sz w:val="20"/>
        </w:rPr>
        <w:t xml:space="preserve">. 2014. </w:t>
      </w:r>
    </w:p>
    <w:p w14:paraId="79F1F22D"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35 </w:t>
      </w:r>
      <w:r w:rsidRPr="003204F4">
        <w:rPr>
          <w:noProof/>
          <w:sz w:val="20"/>
        </w:rPr>
        <w:tab/>
        <w:t xml:space="preserve">Yu J, Hong C, Rui Y, </w:t>
      </w:r>
      <w:r w:rsidRPr="003204F4">
        <w:rPr>
          <w:i/>
          <w:iCs/>
          <w:noProof/>
          <w:sz w:val="20"/>
        </w:rPr>
        <w:t>et al.</w:t>
      </w:r>
      <w:r w:rsidRPr="003204F4">
        <w:rPr>
          <w:noProof/>
          <w:sz w:val="20"/>
        </w:rPr>
        <w:t xml:space="preserve"> Multitask Autoencoder Model for Recovering Human Poses. </w:t>
      </w:r>
      <w:r w:rsidRPr="003204F4">
        <w:rPr>
          <w:i/>
          <w:iCs/>
          <w:noProof/>
          <w:sz w:val="20"/>
        </w:rPr>
        <w:t>IEEE Trans Ind Electron</w:t>
      </w:r>
      <w:r w:rsidRPr="003204F4">
        <w:rPr>
          <w:noProof/>
          <w:sz w:val="20"/>
        </w:rPr>
        <w:t xml:space="preserve"> Published Online First: 2018. doi:10.1109/TIE.2017.2739691</w:t>
      </w:r>
    </w:p>
    <w:p w14:paraId="51E49C7C"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36 </w:t>
      </w:r>
      <w:r w:rsidRPr="003204F4">
        <w:rPr>
          <w:noProof/>
          <w:sz w:val="20"/>
        </w:rPr>
        <w:tab/>
        <w:t xml:space="preserve">Mao K, Tang R, Wang X, </w:t>
      </w:r>
      <w:r w:rsidRPr="003204F4">
        <w:rPr>
          <w:i/>
          <w:iCs/>
          <w:noProof/>
          <w:sz w:val="20"/>
        </w:rPr>
        <w:t>et al.</w:t>
      </w:r>
      <w:r w:rsidRPr="003204F4">
        <w:rPr>
          <w:noProof/>
          <w:sz w:val="20"/>
        </w:rPr>
        <w:t xml:space="preserve"> Feature Representation Using Deep Autoencoder for Lung Nodule Image Classification. </w:t>
      </w:r>
      <w:r w:rsidRPr="003204F4">
        <w:rPr>
          <w:i/>
          <w:iCs/>
          <w:noProof/>
          <w:sz w:val="20"/>
        </w:rPr>
        <w:t>Complexity</w:t>
      </w:r>
      <w:r w:rsidRPr="003204F4">
        <w:rPr>
          <w:noProof/>
          <w:sz w:val="20"/>
        </w:rPr>
        <w:t xml:space="preserve"> Published Online First: 2018. doi:10.1155/2018/3078374</w:t>
      </w:r>
    </w:p>
    <w:p w14:paraId="4A542FDE"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37 </w:t>
      </w:r>
      <w:r w:rsidRPr="003204F4">
        <w:rPr>
          <w:noProof/>
          <w:sz w:val="20"/>
        </w:rPr>
        <w:tab/>
        <w:t xml:space="preserve">Praveen GB, Agrawal A, Sundaram P, </w:t>
      </w:r>
      <w:r w:rsidRPr="003204F4">
        <w:rPr>
          <w:i/>
          <w:iCs/>
          <w:noProof/>
          <w:sz w:val="20"/>
        </w:rPr>
        <w:t>et al.</w:t>
      </w:r>
      <w:r w:rsidRPr="003204F4">
        <w:rPr>
          <w:noProof/>
          <w:sz w:val="20"/>
        </w:rPr>
        <w:t xml:space="preserve"> Ischemic stroke lesion segmentation using stacked sparse autoencoder. </w:t>
      </w:r>
      <w:r w:rsidRPr="003204F4">
        <w:rPr>
          <w:i/>
          <w:iCs/>
          <w:noProof/>
          <w:sz w:val="20"/>
        </w:rPr>
        <w:t>Comput Biol Med</w:t>
      </w:r>
      <w:r w:rsidRPr="003204F4">
        <w:rPr>
          <w:noProof/>
          <w:sz w:val="20"/>
        </w:rPr>
        <w:t xml:space="preserve"> Published Online First: 2018. doi:10.1016/j.compbiomed.2018.05.027</w:t>
      </w:r>
    </w:p>
    <w:p w14:paraId="1ABD23EE"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38 </w:t>
      </w:r>
      <w:r w:rsidRPr="003204F4">
        <w:rPr>
          <w:noProof/>
          <w:sz w:val="20"/>
        </w:rPr>
        <w:tab/>
        <w:t xml:space="preserve">Lemsara A, Ouadfel S, Fröhlich H. PathME: Pathway based multi-modal sparse autoencoders for clustering of patient-level multi-omics data. </w:t>
      </w:r>
      <w:r w:rsidRPr="003204F4">
        <w:rPr>
          <w:i/>
          <w:iCs/>
          <w:noProof/>
          <w:sz w:val="20"/>
        </w:rPr>
        <w:t>BMC Bioinformatics</w:t>
      </w:r>
      <w:r w:rsidRPr="003204F4">
        <w:rPr>
          <w:noProof/>
          <w:sz w:val="20"/>
        </w:rPr>
        <w:t xml:space="preserve"> Published Online First: 2020. doi:10.1186/s12859-020-3465-2</w:t>
      </w:r>
    </w:p>
    <w:p w14:paraId="6518117D"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39 </w:t>
      </w:r>
      <w:r w:rsidRPr="003204F4">
        <w:rPr>
          <w:noProof/>
          <w:sz w:val="20"/>
        </w:rPr>
        <w:tab/>
        <w:t xml:space="preserve">Hill JL. Bayesian nonparametric modeling for causal inference. </w:t>
      </w:r>
      <w:r w:rsidRPr="003204F4">
        <w:rPr>
          <w:i/>
          <w:iCs/>
          <w:noProof/>
          <w:sz w:val="20"/>
        </w:rPr>
        <w:t>J Comput Graph Stat</w:t>
      </w:r>
      <w:r w:rsidRPr="003204F4">
        <w:rPr>
          <w:noProof/>
          <w:sz w:val="20"/>
        </w:rPr>
        <w:t xml:space="preserve"> Published Online First: 2011. doi:10.1198/jcgs.2010.08162</w:t>
      </w:r>
    </w:p>
    <w:p w14:paraId="6763D2CE"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40 </w:t>
      </w:r>
      <w:r w:rsidRPr="003204F4">
        <w:rPr>
          <w:noProof/>
          <w:sz w:val="20"/>
        </w:rPr>
        <w:tab/>
        <w:t xml:space="preserve">Nadeau C, Bengio Y. Inference for the Generalization Error. </w:t>
      </w:r>
    </w:p>
    <w:p w14:paraId="7B9B2656" w14:textId="77777777" w:rsidR="003204F4" w:rsidRPr="003204F4" w:rsidRDefault="003204F4" w:rsidP="003204F4">
      <w:pPr>
        <w:widowControl w:val="0"/>
        <w:autoSpaceDE w:val="0"/>
        <w:autoSpaceDN w:val="0"/>
        <w:adjustRightInd w:val="0"/>
        <w:spacing w:before="120" w:after="120" w:line="480" w:lineRule="auto"/>
        <w:ind w:left="640" w:hanging="640"/>
        <w:rPr>
          <w:noProof/>
          <w:sz w:val="20"/>
        </w:rPr>
      </w:pPr>
      <w:r w:rsidRPr="003204F4">
        <w:rPr>
          <w:noProof/>
          <w:sz w:val="20"/>
        </w:rPr>
        <w:t xml:space="preserve">41 </w:t>
      </w:r>
      <w:r w:rsidRPr="003204F4">
        <w:rPr>
          <w:noProof/>
          <w:sz w:val="20"/>
        </w:rPr>
        <w:tab/>
        <w:t xml:space="preserve">Yoon J, Jordon J, Van Der Schaar M. GANITE: ESTIMATION OF INDIVIDUALIZED TREAT-MENT EFFECTS USING GENERATIVE ADVERSARIAL NETS. </w:t>
      </w:r>
    </w:p>
    <w:p w14:paraId="1C6EEC89" w14:textId="0A1ABAF7" w:rsidR="003A39AD" w:rsidRDefault="003A39AD" w:rsidP="003204F4">
      <w:pPr>
        <w:widowControl w:val="0"/>
        <w:autoSpaceDE w:val="0"/>
        <w:autoSpaceDN w:val="0"/>
        <w:adjustRightInd w:val="0"/>
        <w:spacing w:before="120" w:after="120" w:line="480" w:lineRule="auto"/>
        <w:ind w:left="640" w:hanging="640"/>
      </w:pPr>
      <w:r>
        <w:fldChar w:fldCharType="end"/>
      </w:r>
    </w:p>
    <w:p w14:paraId="2EA2A20C" w14:textId="28A97DF6" w:rsidR="003A39AD" w:rsidRPr="00180F95" w:rsidRDefault="003A39AD" w:rsidP="00180F95"/>
    <w:p w14:paraId="484F5160" w14:textId="77777777" w:rsidR="000F1FCF" w:rsidRPr="009907FC" w:rsidRDefault="000F1FCF" w:rsidP="00FB5DA7">
      <w:pPr>
        <w:pStyle w:val="AMIAAffiliations"/>
      </w:pPr>
    </w:p>
    <w:sectPr w:rsidR="000F1FCF" w:rsidRPr="009907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C"/>
    <w:rsid w:val="00003E98"/>
    <w:rsid w:val="00012DE3"/>
    <w:rsid w:val="000138A5"/>
    <w:rsid w:val="00032765"/>
    <w:rsid w:val="0003760A"/>
    <w:rsid w:val="00041844"/>
    <w:rsid w:val="00042E7B"/>
    <w:rsid w:val="00045D02"/>
    <w:rsid w:val="000527EE"/>
    <w:rsid w:val="00056256"/>
    <w:rsid w:val="00066B95"/>
    <w:rsid w:val="00073FF9"/>
    <w:rsid w:val="00074B55"/>
    <w:rsid w:val="00074BEE"/>
    <w:rsid w:val="00075250"/>
    <w:rsid w:val="00086F3E"/>
    <w:rsid w:val="00091ED4"/>
    <w:rsid w:val="000946C5"/>
    <w:rsid w:val="00097991"/>
    <w:rsid w:val="000A5C7E"/>
    <w:rsid w:val="000B0047"/>
    <w:rsid w:val="000B1CB9"/>
    <w:rsid w:val="000B2C76"/>
    <w:rsid w:val="000C145F"/>
    <w:rsid w:val="000C6BB8"/>
    <w:rsid w:val="000D3BC7"/>
    <w:rsid w:val="000D6AD0"/>
    <w:rsid w:val="000E35AF"/>
    <w:rsid w:val="000E7912"/>
    <w:rsid w:val="000F1FCF"/>
    <w:rsid w:val="00106F40"/>
    <w:rsid w:val="001114D1"/>
    <w:rsid w:val="00113E52"/>
    <w:rsid w:val="00114B88"/>
    <w:rsid w:val="00136F8A"/>
    <w:rsid w:val="00144761"/>
    <w:rsid w:val="001479F7"/>
    <w:rsid w:val="00154333"/>
    <w:rsid w:val="0015493E"/>
    <w:rsid w:val="0015532A"/>
    <w:rsid w:val="00167A01"/>
    <w:rsid w:val="001706B5"/>
    <w:rsid w:val="00171840"/>
    <w:rsid w:val="00171A68"/>
    <w:rsid w:val="001756C8"/>
    <w:rsid w:val="00175E8B"/>
    <w:rsid w:val="00180F95"/>
    <w:rsid w:val="00192279"/>
    <w:rsid w:val="00197A0E"/>
    <w:rsid w:val="00197EAD"/>
    <w:rsid w:val="001A3320"/>
    <w:rsid w:val="001A4174"/>
    <w:rsid w:val="001A47DB"/>
    <w:rsid w:val="001B3E92"/>
    <w:rsid w:val="001B463A"/>
    <w:rsid w:val="001C16EF"/>
    <w:rsid w:val="001C18A4"/>
    <w:rsid w:val="001C6DD7"/>
    <w:rsid w:val="001E4270"/>
    <w:rsid w:val="001E77F1"/>
    <w:rsid w:val="001F6E34"/>
    <w:rsid w:val="001F6F7A"/>
    <w:rsid w:val="002003B3"/>
    <w:rsid w:val="00201A25"/>
    <w:rsid w:val="0020454E"/>
    <w:rsid w:val="002047A6"/>
    <w:rsid w:val="00212C6C"/>
    <w:rsid w:val="00213452"/>
    <w:rsid w:val="002431A5"/>
    <w:rsid w:val="00266880"/>
    <w:rsid w:val="002675C3"/>
    <w:rsid w:val="00270D01"/>
    <w:rsid w:val="002815FF"/>
    <w:rsid w:val="00292D68"/>
    <w:rsid w:val="002A1F12"/>
    <w:rsid w:val="002A24C1"/>
    <w:rsid w:val="002A24F2"/>
    <w:rsid w:val="002A2B40"/>
    <w:rsid w:val="002A7AA0"/>
    <w:rsid w:val="002A7F56"/>
    <w:rsid w:val="002B12D0"/>
    <w:rsid w:val="002B5CA5"/>
    <w:rsid w:val="002C1FDF"/>
    <w:rsid w:val="002C3B95"/>
    <w:rsid w:val="002C64F3"/>
    <w:rsid w:val="002D25C4"/>
    <w:rsid w:val="002D5D80"/>
    <w:rsid w:val="002E67C8"/>
    <w:rsid w:val="002F18B0"/>
    <w:rsid w:val="002F1C8B"/>
    <w:rsid w:val="002F27AA"/>
    <w:rsid w:val="002F60F1"/>
    <w:rsid w:val="00301EE3"/>
    <w:rsid w:val="00304CBE"/>
    <w:rsid w:val="0030655C"/>
    <w:rsid w:val="00311D89"/>
    <w:rsid w:val="00315254"/>
    <w:rsid w:val="00315E46"/>
    <w:rsid w:val="003204F4"/>
    <w:rsid w:val="0032470E"/>
    <w:rsid w:val="003247E2"/>
    <w:rsid w:val="00325674"/>
    <w:rsid w:val="00334FD8"/>
    <w:rsid w:val="003355CF"/>
    <w:rsid w:val="00337B63"/>
    <w:rsid w:val="003411B8"/>
    <w:rsid w:val="00345454"/>
    <w:rsid w:val="00346299"/>
    <w:rsid w:val="003502D5"/>
    <w:rsid w:val="00350B7B"/>
    <w:rsid w:val="00353BBB"/>
    <w:rsid w:val="00353E0F"/>
    <w:rsid w:val="003550C9"/>
    <w:rsid w:val="00360478"/>
    <w:rsid w:val="00361B93"/>
    <w:rsid w:val="00363C52"/>
    <w:rsid w:val="00373E0D"/>
    <w:rsid w:val="00374E24"/>
    <w:rsid w:val="00376FD4"/>
    <w:rsid w:val="0038385E"/>
    <w:rsid w:val="00391FC0"/>
    <w:rsid w:val="0039216E"/>
    <w:rsid w:val="00393280"/>
    <w:rsid w:val="003A39AD"/>
    <w:rsid w:val="003A3EBC"/>
    <w:rsid w:val="003A467D"/>
    <w:rsid w:val="003A68D7"/>
    <w:rsid w:val="003B61C9"/>
    <w:rsid w:val="003B68BE"/>
    <w:rsid w:val="003C1055"/>
    <w:rsid w:val="003C1299"/>
    <w:rsid w:val="003C4D03"/>
    <w:rsid w:val="003D4187"/>
    <w:rsid w:val="003D6F18"/>
    <w:rsid w:val="003F0336"/>
    <w:rsid w:val="003F0F5C"/>
    <w:rsid w:val="003F5EB0"/>
    <w:rsid w:val="004008BF"/>
    <w:rsid w:val="00406B37"/>
    <w:rsid w:val="00411AD6"/>
    <w:rsid w:val="0041295F"/>
    <w:rsid w:val="0041579C"/>
    <w:rsid w:val="00416C68"/>
    <w:rsid w:val="004229C0"/>
    <w:rsid w:val="0042313D"/>
    <w:rsid w:val="004373C9"/>
    <w:rsid w:val="00437AEF"/>
    <w:rsid w:val="00446EF8"/>
    <w:rsid w:val="0044789B"/>
    <w:rsid w:val="0045625D"/>
    <w:rsid w:val="004579EE"/>
    <w:rsid w:val="004614C1"/>
    <w:rsid w:val="004616D2"/>
    <w:rsid w:val="00464751"/>
    <w:rsid w:val="00473567"/>
    <w:rsid w:val="00475D83"/>
    <w:rsid w:val="0048143D"/>
    <w:rsid w:val="0048472E"/>
    <w:rsid w:val="004864DC"/>
    <w:rsid w:val="0049036B"/>
    <w:rsid w:val="00492C4D"/>
    <w:rsid w:val="00495093"/>
    <w:rsid w:val="004A1016"/>
    <w:rsid w:val="004A2D42"/>
    <w:rsid w:val="004C450B"/>
    <w:rsid w:val="004C595E"/>
    <w:rsid w:val="004D4ACC"/>
    <w:rsid w:val="004D7360"/>
    <w:rsid w:val="004E0953"/>
    <w:rsid w:val="004E541E"/>
    <w:rsid w:val="004E6D54"/>
    <w:rsid w:val="004F11A2"/>
    <w:rsid w:val="004F5C9C"/>
    <w:rsid w:val="004F7E48"/>
    <w:rsid w:val="00503B32"/>
    <w:rsid w:val="00505CF1"/>
    <w:rsid w:val="0051259D"/>
    <w:rsid w:val="005134B6"/>
    <w:rsid w:val="00514C5C"/>
    <w:rsid w:val="00535040"/>
    <w:rsid w:val="00542428"/>
    <w:rsid w:val="0054680E"/>
    <w:rsid w:val="005506B9"/>
    <w:rsid w:val="00552B8B"/>
    <w:rsid w:val="00554369"/>
    <w:rsid w:val="00572393"/>
    <w:rsid w:val="00576321"/>
    <w:rsid w:val="005768B7"/>
    <w:rsid w:val="00577D86"/>
    <w:rsid w:val="0059588C"/>
    <w:rsid w:val="005A0C8A"/>
    <w:rsid w:val="005A2BD1"/>
    <w:rsid w:val="005B3F23"/>
    <w:rsid w:val="005C321B"/>
    <w:rsid w:val="005C4489"/>
    <w:rsid w:val="005C545C"/>
    <w:rsid w:val="005C54FF"/>
    <w:rsid w:val="005D7737"/>
    <w:rsid w:val="005E1303"/>
    <w:rsid w:val="005E50DB"/>
    <w:rsid w:val="005F2992"/>
    <w:rsid w:val="005F6110"/>
    <w:rsid w:val="00604E23"/>
    <w:rsid w:val="00607AAD"/>
    <w:rsid w:val="0061119F"/>
    <w:rsid w:val="00615BBD"/>
    <w:rsid w:val="006208AC"/>
    <w:rsid w:val="00623663"/>
    <w:rsid w:val="00626781"/>
    <w:rsid w:val="00627415"/>
    <w:rsid w:val="006346DB"/>
    <w:rsid w:val="00642673"/>
    <w:rsid w:val="00642F4E"/>
    <w:rsid w:val="0066294A"/>
    <w:rsid w:val="0066787C"/>
    <w:rsid w:val="00670620"/>
    <w:rsid w:val="00675A68"/>
    <w:rsid w:val="00675E83"/>
    <w:rsid w:val="00681295"/>
    <w:rsid w:val="006816A8"/>
    <w:rsid w:val="006817D6"/>
    <w:rsid w:val="00687F80"/>
    <w:rsid w:val="0069671F"/>
    <w:rsid w:val="00697096"/>
    <w:rsid w:val="006A0765"/>
    <w:rsid w:val="006A6300"/>
    <w:rsid w:val="006A6F94"/>
    <w:rsid w:val="006A7E34"/>
    <w:rsid w:val="006B1FF1"/>
    <w:rsid w:val="006B27B8"/>
    <w:rsid w:val="006B37C4"/>
    <w:rsid w:val="006B4EB2"/>
    <w:rsid w:val="006B7A0F"/>
    <w:rsid w:val="006C0A6B"/>
    <w:rsid w:val="006C29F3"/>
    <w:rsid w:val="006C5D08"/>
    <w:rsid w:val="006D21E4"/>
    <w:rsid w:val="006D54DA"/>
    <w:rsid w:val="006E2B24"/>
    <w:rsid w:val="006F0BC8"/>
    <w:rsid w:val="006F27E2"/>
    <w:rsid w:val="006F4601"/>
    <w:rsid w:val="00713DFD"/>
    <w:rsid w:val="00717613"/>
    <w:rsid w:val="00717D1D"/>
    <w:rsid w:val="00721B11"/>
    <w:rsid w:val="007236AC"/>
    <w:rsid w:val="007237C8"/>
    <w:rsid w:val="00724CD8"/>
    <w:rsid w:val="00734CFB"/>
    <w:rsid w:val="00736D36"/>
    <w:rsid w:val="00743FB5"/>
    <w:rsid w:val="00745EE5"/>
    <w:rsid w:val="00752A92"/>
    <w:rsid w:val="00790A93"/>
    <w:rsid w:val="007C2B01"/>
    <w:rsid w:val="007C7ACF"/>
    <w:rsid w:val="007D30DA"/>
    <w:rsid w:val="007D442B"/>
    <w:rsid w:val="007D57BA"/>
    <w:rsid w:val="007E0F3C"/>
    <w:rsid w:val="007F4DBD"/>
    <w:rsid w:val="007F554D"/>
    <w:rsid w:val="007F5993"/>
    <w:rsid w:val="008014E4"/>
    <w:rsid w:val="00804B9C"/>
    <w:rsid w:val="008070B7"/>
    <w:rsid w:val="00811F52"/>
    <w:rsid w:val="00816C72"/>
    <w:rsid w:val="00823B11"/>
    <w:rsid w:val="0082723B"/>
    <w:rsid w:val="00833ECD"/>
    <w:rsid w:val="0083577C"/>
    <w:rsid w:val="00835943"/>
    <w:rsid w:val="00835A21"/>
    <w:rsid w:val="0083605F"/>
    <w:rsid w:val="00837B7B"/>
    <w:rsid w:val="0084477B"/>
    <w:rsid w:val="00855CCA"/>
    <w:rsid w:val="00860B7A"/>
    <w:rsid w:val="00860C97"/>
    <w:rsid w:val="00863EB3"/>
    <w:rsid w:val="0087210C"/>
    <w:rsid w:val="00872E83"/>
    <w:rsid w:val="0087439F"/>
    <w:rsid w:val="00897347"/>
    <w:rsid w:val="008A3C0A"/>
    <w:rsid w:val="008A7284"/>
    <w:rsid w:val="008A7A4D"/>
    <w:rsid w:val="008B31BA"/>
    <w:rsid w:val="008B3DBB"/>
    <w:rsid w:val="008B4110"/>
    <w:rsid w:val="008B5560"/>
    <w:rsid w:val="008B6F00"/>
    <w:rsid w:val="008C3866"/>
    <w:rsid w:val="008C7A7A"/>
    <w:rsid w:val="008E354C"/>
    <w:rsid w:val="008E374E"/>
    <w:rsid w:val="008F0254"/>
    <w:rsid w:val="008F04D0"/>
    <w:rsid w:val="008F7EFD"/>
    <w:rsid w:val="00901472"/>
    <w:rsid w:val="00903AF6"/>
    <w:rsid w:val="00905F15"/>
    <w:rsid w:val="0091257B"/>
    <w:rsid w:val="00913259"/>
    <w:rsid w:val="0092332E"/>
    <w:rsid w:val="0093545C"/>
    <w:rsid w:val="00941D70"/>
    <w:rsid w:val="009456E1"/>
    <w:rsid w:val="009569D3"/>
    <w:rsid w:val="00960B0C"/>
    <w:rsid w:val="00962EAD"/>
    <w:rsid w:val="00967143"/>
    <w:rsid w:val="00970C73"/>
    <w:rsid w:val="009745CA"/>
    <w:rsid w:val="009758A1"/>
    <w:rsid w:val="00976340"/>
    <w:rsid w:val="00986905"/>
    <w:rsid w:val="009907FC"/>
    <w:rsid w:val="0099367B"/>
    <w:rsid w:val="00994E4E"/>
    <w:rsid w:val="00997406"/>
    <w:rsid w:val="009A3652"/>
    <w:rsid w:val="009A3D55"/>
    <w:rsid w:val="009C364F"/>
    <w:rsid w:val="009C401B"/>
    <w:rsid w:val="009C43D4"/>
    <w:rsid w:val="009D3A24"/>
    <w:rsid w:val="009D5626"/>
    <w:rsid w:val="009D5F2D"/>
    <w:rsid w:val="009E123D"/>
    <w:rsid w:val="009E2E19"/>
    <w:rsid w:val="009E3FDC"/>
    <w:rsid w:val="009E47A8"/>
    <w:rsid w:val="009E5637"/>
    <w:rsid w:val="009F374B"/>
    <w:rsid w:val="009F6583"/>
    <w:rsid w:val="00A01492"/>
    <w:rsid w:val="00A02D33"/>
    <w:rsid w:val="00A04205"/>
    <w:rsid w:val="00A20983"/>
    <w:rsid w:val="00A24E8C"/>
    <w:rsid w:val="00A25A2B"/>
    <w:rsid w:val="00A3425C"/>
    <w:rsid w:val="00A35344"/>
    <w:rsid w:val="00A35A49"/>
    <w:rsid w:val="00A4611C"/>
    <w:rsid w:val="00A560A2"/>
    <w:rsid w:val="00A60E61"/>
    <w:rsid w:val="00A633E7"/>
    <w:rsid w:val="00A64978"/>
    <w:rsid w:val="00A82982"/>
    <w:rsid w:val="00A85B9B"/>
    <w:rsid w:val="00A90170"/>
    <w:rsid w:val="00A94F86"/>
    <w:rsid w:val="00A95DD5"/>
    <w:rsid w:val="00A9720E"/>
    <w:rsid w:val="00AB6343"/>
    <w:rsid w:val="00AB7F8C"/>
    <w:rsid w:val="00AC073E"/>
    <w:rsid w:val="00AC353E"/>
    <w:rsid w:val="00AC4A21"/>
    <w:rsid w:val="00AC6721"/>
    <w:rsid w:val="00AD1600"/>
    <w:rsid w:val="00AD3BB2"/>
    <w:rsid w:val="00AD46C8"/>
    <w:rsid w:val="00AE3103"/>
    <w:rsid w:val="00AE3CF4"/>
    <w:rsid w:val="00AE76A9"/>
    <w:rsid w:val="00AF17E7"/>
    <w:rsid w:val="00B02924"/>
    <w:rsid w:val="00B06609"/>
    <w:rsid w:val="00B11549"/>
    <w:rsid w:val="00B24612"/>
    <w:rsid w:val="00B26B8E"/>
    <w:rsid w:val="00B303F1"/>
    <w:rsid w:val="00B33E9C"/>
    <w:rsid w:val="00B40B01"/>
    <w:rsid w:val="00B42FAD"/>
    <w:rsid w:val="00B46DD0"/>
    <w:rsid w:val="00B60BCE"/>
    <w:rsid w:val="00B62712"/>
    <w:rsid w:val="00B743E0"/>
    <w:rsid w:val="00B76CA6"/>
    <w:rsid w:val="00B97CCD"/>
    <w:rsid w:val="00BA01D7"/>
    <w:rsid w:val="00BB334D"/>
    <w:rsid w:val="00BC09A0"/>
    <w:rsid w:val="00BC3232"/>
    <w:rsid w:val="00BC328F"/>
    <w:rsid w:val="00BD0284"/>
    <w:rsid w:val="00BD1820"/>
    <w:rsid w:val="00BF2F04"/>
    <w:rsid w:val="00C00EF9"/>
    <w:rsid w:val="00C01D8B"/>
    <w:rsid w:val="00C0262D"/>
    <w:rsid w:val="00C116E3"/>
    <w:rsid w:val="00C14792"/>
    <w:rsid w:val="00C150BD"/>
    <w:rsid w:val="00C2077D"/>
    <w:rsid w:val="00C2300A"/>
    <w:rsid w:val="00C30BF3"/>
    <w:rsid w:val="00C325B8"/>
    <w:rsid w:val="00C36261"/>
    <w:rsid w:val="00C377C8"/>
    <w:rsid w:val="00C37C4B"/>
    <w:rsid w:val="00C37F2E"/>
    <w:rsid w:val="00C4293C"/>
    <w:rsid w:val="00C450DF"/>
    <w:rsid w:val="00C47EE2"/>
    <w:rsid w:val="00C6723A"/>
    <w:rsid w:val="00C70739"/>
    <w:rsid w:val="00C73CB0"/>
    <w:rsid w:val="00C83BB7"/>
    <w:rsid w:val="00C86772"/>
    <w:rsid w:val="00C9041D"/>
    <w:rsid w:val="00C91154"/>
    <w:rsid w:val="00C933BA"/>
    <w:rsid w:val="00C96663"/>
    <w:rsid w:val="00CA6204"/>
    <w:rsid w:val="00CA6259"/>
    <w:rsid w:val="00CB05C1"/>
    <w:rsid w:val="00CB0AEC"/>
    <w:rsid w:val="00CB6A6B"/>
    <w:rsid w:val="00CB70FD"/>
    <w:rsid w:val="00CC2DE6"/>
    <w:rsid w:val="00CD78AF"/>
    <w:rsid w:val="00CE1079"/>
    <w:rsid w:val="00CE5373"/>
    <w:rsid w:val="00CF1CD4"/>
    <w:rsid w:val="00D02F13"/>
    <w:rsid w:val="00D0652C"/>
    <w:rsid w:val="00D077DC"/>
    <w:rsid w:val="00D1421E"/>
    <w:rsid w:val="00D22E1F"/>
    <w:rsid w:val="00D2430F"/>
    <w:rsid w:val="00D26630"/>
    <w:rsid w:val="00D26F6B"/>
    <w:rsid w:val="00D33DE1"/>
    <w:rsid w:val="00D370F7"/>
    <w:rsid w:val="00D45414"/>
    <w:rsid w:val="00D458A2"/>
    <w:rsid w:val="00D537F4"/>
    <w:rsid w:val="00D6161D"/>
    <w:rsid w:val="00D6220B"/>
    <w:rsid w:val="00D646DD"/>
    <w:rsid w:val="00D76B35"/>
    <w:rsid w:val="00D84FAE"/>
    <w:rsid w:val="00D91DE4"/>
    <w:rsid w:val="00D95930"/>
    <w:rsid w:val="00DA4B04"/>
    <w:rsid w:val="00DB1EAB"/>
    <w:rsid w:val="00DB2327"/>
    <w:rsid w:val="00DB497D"/>
    <w:rsid w:val="00DB5633"/>
    <w:rsid w:val="00DB5A40"/>
    <w:rsid w:val="00DB6F2A"/>
    <w:rsid w:val="00DC16CF"/>
    <w:rsid w:val="00DD07A6"/>
    <w:rsid w:val="00DD0D7A"/>
    <w:rsid w:val="00DD3BB1"/>
    <w:rsid w:val="00DD3C51"/>
    <w:rsid w:val="00DE48DD"/>
    <w:rsid w:val="00E07467"/>
    <w:rsid w:val="00E11AAE"/>
    <w:rsid w:val="00E14261"/>
    <w:rsid w:val="00E17019"/>
    <w:rsid w:val="00E2524E"/>
    <w:rsid w:val="00E4233E"/>
    <w:rsid w:val="00E43F87"/>
    <w:rsid w:val="00E54123"/>
    <w:rsid w:val="00E56939"/>
    <w:rsid w:val="00E60A2A"/>
    <w:rsid w:val="00E635ED"/>
    <w:rsid w:val="00E71540"/>
    <w:rsid w:val="00E742D6"/>
    <w:rsid w:val="00E832F8"/>
    <w:rsid w:val="00E8435D"/>
    <w:rsid w:val="00E84CF5"/>
    <w:rsid w:val="00E960CB"/>
    <w:rsid w:val="00EA3394"/>
    <w:rsid w:val="00EA5F37"/>
    <w:rsid w:val="00EA64F5"/>
    <w:rsid w:val="00EA7F88"/>
    <w:rsid w:val="00EB02B4"/>
    <w:rsid w:val="00EB6BB9"/>
    <w:rsid w:val="00EC18D3"/>
    <w:rsid w:val="00EC2C4F"/>
    <w:rsid w:val="00EC41C0"/>
    <w:rsid w:val="00EC4597"/>
    <w:rsid w:val="00EC6B6F"/>
    <w:rsid w:val="00ED147C"/>
    <w:rsid w:val="00ED5814"/>
    <w:rsid w:val="00ED62F7"/>
    <w:rsid w:val="00EE4E74"/>
    <w:rsid w:val="00EF062F"/>
    <w:rsid w:val="00EF3D77"/>
    <w:rsid w:val="00EF5FAB"/>
    <w:rsid w:val="00F02593"/>
    <w:rsid w:val="00F119F6"/>
    <w:rsid w:val="00F17177"/>
    <w:rsid w:val="00F21A91"/>
    <w:rsid w:val="00F31EA2"/>
    <w:rsid w:val="00F34C72"/>
    <w:rsid w:val="00F50FC1"/>
    <w:rsid w:val="00F51621"/>
    <w:rsid w:val="00F579EA"/>
    <w:rsid w:val="00F66665"/>
    <w:rsid w:val="00F81AE9"/>
    <w:rsid w:val="00F82BAC"/>
    <w:rsid w:val="00F91FF0"/>
    <w:rsid w:val="00F97C6C"/>
    <w:rsid w:val="00FA7F1A"/>
    <w:rsid w:val="00FB221D"/>
    <w:rsid w:val="00FB5DA7"/>
    <w:rsid w:val="00FB750E"/>
    <w:rsid w:val="00FB7739"/>
    <w:rsid w:val="00FB7851"/>
    <w:rsid w:val="00FD2D57"/>
    <w:rsid w:val="00FD331D"/>
    <w:rsid w:val="00FD5372"/>
    <w:rsid w:val="00FE40D7"/>
    <w:rsid w:val="00FE7596"/>
    <w:rsid w:val="00FF2807"/>
    <w:rsid w:val="00FF3BF9"/>
    <w:rsid w:val="00FF68A9"/>
    <w:rsid w:val="00FF7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EC85"/>
  <w15:chartTrackingRefBased/>
  <w15:docId w15:val="{7F573406-1EFF-F448-9A92-83DB9DA55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17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MIATitle">
    <w:name w:val="AMIA Title"/>
    <w:basedOn w:val="Normal"/>
    <w:next w:val="AMIAAuthors"/>
    <w:rsid w:val="009907FC"/>
    <w:pPr>
      <w:spacing w:after="280"/>
      <w:jc w:val="center"/>
    </w:pPr>
    <w:rPr>
      <w:b/>
      <w:sz w:val="28"/>
      <w:szCs w:val="20"/>
    </w:rPr>
  </w:style>
  <w:style w:type="paragraph" w:customStyle="1" w:styleId="AMIAAuthors">
    <w:name w:val="AMIA Authors"/>
    <w:basedOn w:val="Normal"/>
    <w:next w:val="AMIAAffiliations"/>
    <w:rsid w:val="009907FC"/>
    <w:pPr>
      <w:jc w:val="center"/>
    </w:pPr>
    <w:rPr>
      <w:b/>
      <w:szCs w:val="20"/>
    </w:rPr>
  </w:style>
  <w:style w:type="paragraph" w:customStyle="1" w:styleId="AMIAAffiliations">
    <w:name w:val="AMIA Affiliations"/>
    <w:basedOn w:val="Normal"/>
    <w:rsid w:val="009907FC"/>
    <w:pPr>
      <w:spacing w:after="240"/>
      <w:jc w:val="center"/>
    </w:pPr>
    <w:rPr>
      <w:b/>
      <w:szCs w:val="20"/>
    </w:rPr>
  </w:style>
  <w:style w:type="paragraph" w:customStyle="1" w:styleId="AMIAAbstract">
    <w:name w:val="AMIA Abstract"/>
    <w:basedOn w:val="Normal"/>
    <w:rsid w:val="000F1FCF"/>
    <w:pPr>
      <w:spacing w:after="120"/>
      <w:jc w:val="both"/>
    </w:pPr>
    <w:rPr>
      <w:i/>
      <w:sz w:val="20"/>
      <w:szCs w:val="20"/>
    </w:rPr>
  </w:style>
  <w:style w:type="paragraph" w:customStyle="1" w:styleId="AMIAAbstractHeading">
    <w:name w:val="AMIA Abstract Heading"/>
    <w:basedOn w:val="Normal"/>
    <w:rsid w:val="000F1FCF"/>
    <w:pPr>
      <w:keepNext/>
      <w:spacing w:after="120"/>
      <w:jc w:val="both"/>
      <w:outlineLvl w:val="0"/>
    </w:pPr>
    <w:rPr>
      <w:b/>
      <w:sz w:val="20"/>
      <w:szCs w:val="20"/>
    </w:rPr>
  </w:style>
  <w:style w:type="character" w:styleId="Hyperlink">
    <w:name w:val="Hyperlink"/>
    <w:basedOn w:val="DefaultParagraphFont"/>
    <w:uiPriority w:val="99"/>
    <w:unhideWhenUsed/>
    <w:rsid w:val="0059588C"/>
    <w:rPr>
      <w:color w:val="0563C1" w:themeColor="hyperlink"/>
      <w:u w:val="single"/>
    </w:rPr>
  </w:style>
  <w:style w:type="character" w:styleId="UnresolvedMention">
    <w:name w:val="Unresolved Mention"/>
    <w:basedOn w:val="DefaultParagraphFont"/>
    <w:uiPriority w:val="99"/>
    <w:semiHidden/>
    <w:unhideWhenUsed/>
    <w:rsid w:val="0059588C"/>
    <w:rPr>
      <w:color w:val="605E5C"/>
      <w:shd w:val="clear" w:color="auto" w:fill="E1DFDD"/>
    </w:rPr>
  </w:style>
  <w:style w:type="character" w:styleId="FollowedHyperlink">
    <w:name w:val="FollowedHyperlink"/>
    <w:basedOn w:val="DefaultParagraphFont"/>
    <w:uiPriority w:val="99"/>
    <w:semiHidden/>
    <w:unhideWhenUsed/>
    <w:rsid w:val="0059588C"/>
    <w:rPr>
      <w:color w:val="954F72" w:themeColor="followedHyperlink"/>
      <w:u w:val="single"/>
    </w:rPr>
  </w:style>
  <w:style w:type="paragraph" w:customStyle="1" w:styleId="AMIABodyText">
    <w:name w:val="AMIA Body Text"/>
    <w:basedOn w:val="Normal"/>
    <w:rsid w:val="002431A5"/>
    <w:pPr>
      <w:suppressAutoHyphens/>
      <w:spacing w:after="120"/>
      <w:jc w:val="both"/>
    </w:pPr>
    <w:rPr>
      <w:sz w:val="20"/>
      <w:szCs w:val="20"/>
    </w:rPr>
  </w:style>
  <w:style w:type="paragraph" w:customStyle="1" w:styleId="AMIAHeading">
    <w:name w:val="AMIA Heading"/>
    <w:basedOn w:val="Normal"/>
    <w:rsid w:val="002431A5"/>
    <w:pPr>
      <w:keepNext/>
      <w:spacing w:before="120" w:after="120"/>
      <w:jc w:val="both"/>
      <w:outlineLvl w:val="0"/>
    </w:pPr>
    <w:rPr>
      <w:b/>
      <w:sz w:val="20"/>
      <w:szCs w:val="20"/>
    </w:rPr>
  </w:style>
  <w:style w:type="character" w:styleId="PlaceholderText">
    <w:name w:val="Placeholder Text"/>
    <w:basedOn w:val="DefaultParagraphFont"/>
    <w:uiPriority w:val="99"/>
    <w:semiHidden/>
    <w:rsid w:val="008B31BA"/>
    <w:rPr>
      <w:color w:val="808080"/>
    </w:rPr>
  </w:style>
  <w:style w:type="table" w:styleId="TableGrid">
    <w:name w:val="Table Grid"/>
    <w:basedOn w:val="TableNormal"/>
    <w:uiPriority w:val="39"/>
    <w:rsid w:val="008E3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8153">
      <w:bodyDiv w:val="1"/>
      <w:marLeft w:val="0"/>
      <w:marRight w:val="0"/>
      <w:marTop w:val="0"/>
      <w:marBottom w:val="0"/>
      <w:divBdr>
        <w:top w:val="none" w:sz="0" w:space="0" w:color="auto"/>
        <w:left w:val="none" w:sz="0" w:space="0" w:color="auto"/>
        <w:bottom w:val="none" w:sz="0" w:space="0" w:color="auto"/>
        <w:right w:val="none" w:sz="0" w:space="0" w:color="auto"/>
      </w:divBdr>
    </w:div>
    <w:div w:id="529102808">
      <w:bodyDiv w:val="1"/>
      <w:marLeft w:val="0"/>
      <w:marRight w:val="0"/>
      <w:marTop w:val="0"/>
      <w:marBottom w:val="0"/>
      <w:divBdr>
        <w:top w:val="none" w:sz="0" w:space="0" w:color="auto"/>
        <w:left w:val="none" w:sz="0" w:space="0" w:color="auto"/>
        <w:bottom w:val="none" w:sz="0" w:space="0" w:color="auto"/>
        <w:right w:val="none" w:sz="0" w:space="0" w:color="auto"/>
      </w:divBdr>
    </w:div>
    <w:div w:id="537932774">
      <w:bodyDiv w:val="1"/>
      <w:marLeft w:val="0"/>
      <w:marRight w:val="0"/>
      <w:marTop w:val="0"/>
      <w:marBottom w:val="0"/>
      <w:divBdr>
        <w:top w:val="none" w:sz="0" w:space="0" w:color="auto"/>
        <w:left w:val="none" w:sz="0" w:space="0" w:color="auto"/>
        <w:bottom w:val="none" w:sz="0" w:space="0" w:color="auto"/>
        <w:right w:val="none" w:sz="0" w:space="0" w:color="auto"/>
      </w:divBdr>
    </w:div>
    <w:div w:id="589392017">
      <w:bodyDiv w:val="1"/>
      <w:marLeft w:val="0"/>
      <w:marRight w:val="0"/>
      <w:marTop w:val="0"/>
      <w:marBottom w:val="0"/>
      <w:divBdr>
        <w:top w:val="none" w:sz="0" w:space="0" w:color="auto"/>
        <w:left w:val="none" w:sz="0" w:space="0" w:color="auto"/>
        <w:bottom w:val="none" w:sz="0" w:space="0" w:color="auto"/>
        <w:right w:val="none" w:sz="0" w:space="0" w:color="auto"/>
      </w:divBdr>
    </w:div>
    <w:div w:id="739249671">
      <w:bodyDiv w:val="1"/>
      <w:marLeft w:val="0"/>
      <w:marRight w:val="0"/>
      <w:marTop w:val="0"/>
      <w:marBottom w:val="0"/>
      <w:divBdr>
        <w:top w:val="none" w:sz="0" w:space="0" w:color="auto"/>
        <w:left w:val="none" w:sz="0" w:space="0" w:color="auto"/>
        <w:bottom w:val="none" w:sz="0" w:space="0" w:color="auto"/>
        <w:right w:val="none" w:sz="0" w:space="0" w:color="auto"/>
      </w:divBdr>
    </w:div>
    <w:div w:id="827284825">
      <w:bodyDiv w:val="1"/>
      <w:marLeft w:val="0"/>
      <w:marRight w:val="0"/>
      <w:marTop w:val="0"/>
      <w:marBottom w:val="0"/>
      <w:divBdr>
        <w:top w:val="none" w:sz="0" w:space="0" w:color="auto"/>
        <w:left w:val="none" w:sz="0" w:space="0" w:color="auto"/>
        <w:bottom w:val="none" w:sz="0" w:space="0" w:color="auto"/>
        <w:right w:val="none" w:sz="0" w:space="0" w:color="auto"/>
      </w:divBdr>
    </w:div>
    <w:div w:id="996304627">
      <w:bodyDiv w:val="1"/>
      <w:marLeft w:val="0"/>
      <w:marRight w:val="0"/>
      <w:marTop w:val="0"/>
      <w:marBottom w:val="0"/>
      <w:divBdr>
        <w:top w:val="none" w:sz="0" w:space="0" w:color="auto"/>
        <w:left w:val="none" w:sz="0" w:space="0" w:color="auto"/>
        <w:bottom w:val="none" w:sz="0" w:space="0" w:color="auto"/>
        <w:right w:val="none" w:sz="0" w:space="0" w:color="auto"/>
      </w:divBdr>
    </w:div>
    <w:div w:id="1106731970">
      <w:bodyDiv w:val="1"/>
      <w:marLeft w:val="0"/>
      <w:marRight w:val="0"/>
      <w:marTop w:val="0"/>
      <w:marBottom w:val="0"/>
      <w:divBdr>
        <w:top w:val="none" w:sz="0" w:space="0" w:color="auto"/>
        <w:left w:val="none" w:sz="0" w:space="0" w:color="auto"/>
        <w:bottom w:val="none" w:sz="0" w:space="0" w:color="auto"/>
        <w:right w:val="none" w:sz="0" w:space="0" w:color="auto"/>
      </w:divBdr>
    </w:div>
    <w:div w:id="1262835320">
      <w:bodyDiv w:val="1"/>
      <w:marLeft w:val="0"/>
      <w:marRight w:val="0"/>
      <w:marTop w:val="0"/>
      <w:marBottom w:val="0"/>
      <w:divBdr>
        <w:top w:val="none" w:sz="0" w:space="0" w:color="auto"/>
        <w:left w:val="none" w:sz="0" w:space="0" w:color="auto"/>
        <w:bottom w:val="none" w:sz="0" w:space="0" w:color="auto"/>
        <w:right w:val="none" w:sz="0" w:space="0" w:color="auto"/>
      </w:divBdr>
    </w:div>
    <w:div w:id="1352949283">
      <w:bodyDiv w:val="1"/>
      <w:marLeft w:val="0"/>
      <w:marRight w:val="0"/>
      <w:marTop w:val="0"/>
      <w:marBottom w:val="0"/>
      <w:divBdr>
        <w:top w:val="none" w:sz="0" w:space="0" w:color="auto"/>
        <w:left w:val="none" w:sz="0" w:space="0" w:color="auto"/>
        <w:bottom w:val="none" w:sz="0" w:space="0" w:color="auto"/>
        <w:right w:val="none" w:sz="0" w:space="0" w:color="auto"/>
      </w:divBdr>
    </w:div>
    <w:div w:id="1423915540">
      <w:bodyDiv w:val="1"/>
      <w:marLeft w:val="0"/>
      <w:marRight w:val="0"/>
      <w:marTop w:val="0"/>
      <w:marBottom w:val="0"/>
      <w:divBdr>
        <w:top w:val="none" w:sz="0" w:space="0" w:color="auto"/>
        <w:left w:val="none" w:sz="0" w:space="0" w:color="auto"/>
        <w:bottom w:val="none" w:sz="0" w:space="0" w:color="auto"/>
        <w:right w:val="none" w:sz="0" w:space="0" w:color="auto"/>
      </w:divBdr>
    </w:div>
    <w:div w:id="1477991885">
      <w:bodyDiv w:val="1"/>
      <w:marLeft w:val="0"/>
      <w:marRight w:val="0"/>
      <w:marTop w:val="0"/>
      <w:marBottom w:val="0"/>
      <w:divBdr>
        <w:top w:val="none" w:sz="0" w:space="0" w:color="auto"/>
        <w:left w:val="none" w:sz="0" w:space="0" w:color="auto"/>
        <w:bottom w:val="none" w:sz="0" w:space="0" w:color="auto"/>
        <w:right w:val="none" w:sz="0" w:space="0" w:color="auto"/>
      </w:divBdr>
    </w:div>
    <w:div w:id="1640377443">
      <w:bodyDiv w:val="1"/>
      <w:marLeft w:val="0"/>
      <w:marRight w:val="0"/>
      <w:marTop w:val="0"/>
      <w:marBottom w:val="0"/>
      <w:divBdr>
        <w:top w:val="none" w:sz="0" w:space="0" w:color="auto"/>
        <w:left w:val="none" w:sz="0" w:space="0" w:color="auto"/>
        <w:bottom w:val="none" w:sz="0" w:space="0" w:color="auto"/>
        <w:right w:val="none" w:sz="0" w:space="0" w:color="auto"/>
      </w:divBdr>
    </w:div>
    <w:div w:id="1717117725">
      <w:bodyDiv w:val="1"/>
      <w:marLeft w:val="0"/>
      <w:marRight w:val="0"/>
      <w:marTop w:val="0"/>
      <w:marBottom w:val="0"/>
      <w:divBdr>
        <w:top w:val="none" w:sz="0" w:space="0" w:color="auto"/>
        <w:left w:val="none" w:sz="0" w:space="0" w:color="auto"/>
        <w:bottom w:val="none" w:sz="0" w:space="0" w:color="auto"/>
        <w:right w:val="none" w:sz="0" w:space="0" w:color="auto"/>
      </w:divBdr>
    </w:div>
    <w:div w:id="183822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orch.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5" Type="http://schemas.openxmlformats.org/officeDocument/2006/relationships/hyperlink" Target="https://github.com/Shantanu48114860/"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01AD2A-CE73-AD4D-8C56-015C4CBE515E}">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56A92-1501-0242-890F-5C148C80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21542</Words>
  <Characters>122796</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Ghosh,Shantanu</dc:creator>
  <cp:keywords/>
  <dc:description/>
  <cp:lastModifiedBy>Ghosh,Shantanu</cp:lastModifiedBy>
  <cp:revision>2</cp:revision>
  <dcterms:created xsi:type="dcterms:W3CDTF">2020-07-22T07:27:00Z</dcterms:created>
  <dcterms:modified xsi:type="dcterms:W3CDTF">2020-07-22T07:27:00Z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http://www.zotero.org/styles/jamia</vt:lpwstr>
  </property>
  <property fmtid="{D5CDD505-2E9C-101B-9397-08002B2CF9AE}" pid="15" name="Mendeley Recent Style Name 6_1">
    <vt:lpwstr>JAMIA</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275f9c5f-4a34-33d6-805b-93d6407424fb</vt:lpwstr>
  </property>
  <property fmtid="{D5CDD505-2E9C-101B-9397-08002B2CF9AE}" pid="24" name="Mendeley Citation Style_1">
    <vt:lpwstr>http://www.zotero.org/styles/jamia</vt:lpwstr>
  </property>
</Properties>
</file>