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AF" w:rsidRDefault="00406BAF" w:rsidP="00406BAF">
      <w:pPr>
        <w:spacing w:after="0"/>
      </w:pPr>
      <w:r>
        <w:t>Bryson Cook</w:t>
      </w:r>
    </w:p>
    <w:p w:rsidR="00406BAF" w:rsidRDefault="00406BAF" w:rsidP="00406BAF">
      <w:pPr>
        <w:spacing w:after="0"/>
      </w:pPr>
      <w:r>
        <w:t xml:space="preserve">ISYE6501, </w:t>
      </w:r>
      <w:proofErr w:type="gramStart"/>
      <w:r>
        <w:t>Spring</w:t>
      </w:r>
      <w:proofErr w:type="gramEnd"/>
      <w:r>
        <w:t xml:space="preserve"> 2018</w:t>
      </w:r>
    </w:p>
    <w:p w:rsidR="005A4F70" w:rsidRDefault="00406BAF" w:rsidP="00406BAF">
      <w:pPr>
        <w:spacing w:after="0"/>
      </w:pPr>
      <w:r>
        <w:t>Homework 3</w:t>
      </w:r>
    </w:p>
    <w:p w:rsidR="00406BAF" w:rsidRDefault="00406BAF" w:rsidP="00406BAF">
      <w:pPr>
        <w:spacing w:after="0"/>
      </w:pPr>
    </w:p>
    <w:p w:rsidR="00406BAF" w:rsidRDefault="00406BAF" w:rsidP="00406B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5.1 </w:t>
      </w:r>
    </w:p>
    <w:p w:rsidR="00406BAF" w:rsidRPr="00406BAF" w:rsidRDefault="00406BAF" w:rsidP="00406BAF">
      <w:pPr>
        <w:pStyle w:val="Default"/>
        <w:rPr>
          <w:b/>
          <w:sz w:val="22"/>
          <w:szCs w:val="22"/>
        </w:rPr>
      </w:pPr>
      <w:proofErr w:type="gramStart"/>
      <w:r w:rsidRPr="00406BAF">
        <w:rPr>
          <w:b/>
          <w:sz w:val="22"/>
          <w:szCs w:val="22"/>
        </w:rPr>
        <w:t>Using crime data from http://www.statsci.org/data/general/uscrime.txt (description at http://www.statsci.org/data/general/uscrime.html), test to see whether there is an outlier in the last column (number of crimes per 100,000 people).</w:t>
      </w:r>
      <w:proofErr w:type="gramEnd"/>
      <w:r w:rsidRPr="00406BAF">
        <w:rPr>
          <w:b/>
          <w:sz w:val="22"/>
          <w:szCs w:val="22"/>
        </w:rPr>
        <w:t xml:space="preserve"> Is the lowest-crime city an outlier? Is the highest-crime city an outlier? Are there others? Use the </w:t>
      </w:r>
      <w:proofErr w:type="spellStart"/>
      <w:r w:rsidRPr="00406BAF">
        <w:rPr>
          <w:rFonts w:ascii="Courier New" w:hAnsi="Courier New" w:cs="Courier New"/>
          <w:b/>
          <w:sz w:val="22"/>
          <w:szCs w:val="22"/>
        </w:rPr>
        <w:t>grubbs.test</w:t>
      </w:r>
      <w:proofErr w:type="spellEnd"/>
      <w:r w:rsidRPr="00406BAF">
        <w:rPr>
          <w:rFonts w:ascii="Courier New" w:hAnsi="Courier New" w:cs="Courier New"/>
          <w:b/>
          <w:sz w:val="22"/>
          <w:szCs w:val="22"/>
        </w:rPr>
        <w:t xml:space="preserve"> </w:t>
      </w:r>
      <w:r w:rsidRPr="00406BAF">
        <w:rPr>
          <w:b/>
          <w:sz w:val="22"/>
          <w:szCs w:val="22"/>
        </w:rPr>
        <w:t xml:space="preserve">function in the </w:t>
      </w:r>
      <w:proofErr w:type="gramStart"/>
      <w:r w:rsidRPr="00406BAF">
        <w:rPr>
          <w:rFonts w:ascii="Courier New" w:hAnsi="Courier New" w:cs="Courier New"/>
          <w:b/>
          <w:sz w:val="22"/>
          <w:szCs w:val="22"/>
        </w:rPr>
        <w:t>outliers</w:t>
      </w:r>
      <w:proofErr w:type="gramEnd"/>
      <w:r w:rsidRPr="00406BAF">
        <w:rPr>
          <w:rFonts w:ascii="Courier New" w:hAnsi="Courier New" w:cs="Courier New"/>
          <w:b/>
          <w:sz w:val="22"/>
          <w:szCs w:val="22"/>
        </w:rPr>
        <w:t xml:space="preserve"> </w:t>
      </w:r>
      <w:r w:rsidRPr="00406BAF">
        <w:rPr>
          <w:b/>
          <w:sz w:val="22"/>
          <w:szCs w:val="22"/>
        </w:rPr>
        <w:t xml:space="preserve">package in R. </w:t>
      </w:r>
    </w:p>
    <w:p w:rsidR="00406BAF" w:rsidRDefault="00513301" w:rsidP="00406BAF">
      <w:pPr>
        <w:pStyle w:val="Default"/>
        <w:rPr>
          <w:b/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8A0CE2" wp14:editId="4A1CE87B">
            <wp:simplePos x="0" y="0"/>
            <wp:positionH relativeFrom="column">
              <wp:posOffset>-43180</wp:posOffset>
            </wp:positionH>
            <wp:positionV relativeFrom="paragraph">
              <wp:posOffset>121920</wp:posOffset>
            </wp:positionV>
            <wp:extent cx="5943600" cy="4004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visually check for outliers, the data was sorted </w:t>
      </w:r>
      <w:r w:rsidR="00406BAF" w:rsidRPr="00406BAF"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>nto ascending order and plotted, as shown below.</w:t>
      </w: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513301" w:rsidRDefault="00513301" w:rsidP="000A304B">
      <w:pPr>
        <w:pStyle w:val="Default"/>
        <w:ind w:firstLine="720"/>
        <w:rPr>
          <w:bCs/>
          <w:sz w:val="22"/>
          <w:szCs w:val="22"/>
        </w:rPr>
      </w:pPr>
    </w:p>
    <w:p w:rsidR="000A304B" w:rsidRDefault="00513301" w:rsidP="000A304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From this plot, it</w:t>
      </w:r>
      <w:r w:rsidR="00406BAF" w:rsidRPr="00406BAF">
        <w:rPr>
          <w:bCs/>
          <w:sz w:val="22"/>
          <w:szCs w:val="22"/>
        </w:rPr>
        <w:t xml:space="preserve"> does not appear like the lowest crime rate is an outli</w:t>
      </w:r>
      <w:r w:rsidR="000A304B">
        <w:rPr>
          <w:bCs/>
          <w:sz w:val="22"/>
          <w:szCs w:val="22"/>
        </w:rPr>
        <w:t>er</w:t>
      </w:r>
      <w:r w:rsidR="0053524A">
        <w:rPr>
          <w:bCs/>
          <w:sz w:val="22"/>
          <w:szCs w:val="22"/>
        </w:rPr>
        <w:t>.</w:t>
      </w:r>
      <w:r w:rsidR="000A304B">
        <w:rPr>
          <w:bCs/>
          <w:sz w:val="22"/>
          <w:szCs w:val="22"/>
        </w:rPr>
        <w:t xml:space="preserve"> </w:t>
      </w:r>
      <w:r w:rsidR="0053524A">
        <w:rPr>
          <w:bCs/>
          <w:sz w:val="22"/>
          <w:szCs w:val="22"/>
        </w:rPr>
        <w:t>I</w:t>
      </w:r>
      <w:r w:rsidR="000A304B">
        <w:rPr>
          <w:bCs/>
          <w:sz w:val="22"/>
          <w:szCs w:val="22"/>
        </w:rPr>
        <w:t>t</w:t>
      </w:r>
      <w:r w:rsidR="0053524A">
        <w:rPr>
          <w:bCs/>
          <w:sz w:val="22"/>
          <w:szCs w:val="22"/>
        </w:rPr>
        <w:t xml:space="preserve"> does appear</w:t>
      </w:r>
      <w:r w:rsidR="000A304B">
        <w:rPr>
          <w:bCs/>
          <w:sz w:val="22"/>
          <w:szCs w:val="22"/>
        </w:rPr>
        <w:t xml:space="preserve"> there are</w:t>
      </w:r>
      <w:r w:rsidR="00406BAF" w:rsidRPr="00406BAF">
        <w:rPr>
          <w:bCs/>
          <w:sz w:val="22"/>
          <w:szCs w:val="22"/>
        </w:rPr>
        <w:t xml:space="preserve"> outliers at the highest crime levels, though it is not certain particularly which. 1969 and 1993 are the highest crime rates, and are we</w:t>
      </w:r>
      <w:r w:rsidR="000A304B">
        <w:rPr>
          <w:bCs/>
          <w:sz w:val="22"/>
          <w:szCs w:val="22"/>
        </w:rPr>
        <w:t xml:space="preserve">ll above the next highest </w:t>
      </w:r>
      <w:r w:rsidR="0053524A">
        <w:rPr>
          <w:bCs/>
          <w:sz w:val="22"/>
          <w:szCs w:val="22"/>
        </w:rPr>
        <w:t xml:space="preserve">crime </w:t>
      </w:r>
      <w:r w:rsidR="000A304B">
        <w:rPr>
          <w:bCs/>
          <w:sz w:val="22"/>
          <w:szCs w:val="22"/>
        </w:rPr>
        <w:t xml:space="preserve">rate </w:t>
      </w:r>
      <w:r w:rsidR="0053524A">
        <w:rPr>
          <w:bCs/>
          <w:sz w:val="22"/>
          <w:szCs w:val="22"/>
        </w:rPr>
        <w:t>cluster</w:t>
      </w:r>
      <w:r w:rsidR="000A304B">
        <w:rPr>
          <w:bCs/>
          <w:sz w:val="22"/>
          <w:szCs w:val="22"/>
        </w:rPr>
        <w:t>, which begins at 1674 and includes the next two points.</w:t>
      </w:r>
      <w:r w:rsidR="00406BAF" w:rsidRPr="00406BAF">
        <w:rPr>
          <w:bCs/>
          <w:sz w:val="22"/>
          <w:szCs w:val="22"/>
        </w:rPr>
        <w:t xml:space="preserve"> </w:t>
      </w:r>
      <w:r w:rsidR="000A304B">
        <w:rPr>
          <w:bCs/>
          <w:sz w:val="22"/>
          <w:szCs w:val="22"/>
        </w:rPr>
        <w:t xml:space="preserve">So </w:t>
      </w:r>
      <w:r w:rsidR="00406BAF" w:rsidRPr="00406BAF">
        <w:rPr>
          <w:bCs/>
          <w:sz w:val="22"/>
          <w:szCs w:val="22"/>
        </w:rPr>
        <w:t xml:space="preserve">one could also state that </w:t>
      </w:r>
      <w:r w:rsidR="000A304B">
        <w:rPr>
          <w:bCs/>
          <w:sz w:val="22"/>
          <w:szCs w:val="22"/>
        </w:rPr>
        <w:t>the top</w:t>
      </w:r>
      <w:r w:rsidR="00406BAF" w:rsidRPr="00406BAF">
        <w:rPr>
          <w:bCs/>
          <w:sz w:val="22"/>
          <w:szCs w:val="22"/>
        </w:rPr>
        <w:t xml:space="preserve"> 5 results are outliers from the rest, as th</w:t>
      </w:r>
      <w:r w:rsidR="000A304B">
        <w:rPr>
          <w:bCs/>
          <w:sz w:val="22"/>
          <w:szCs w:val="22"/>
        </w:rPr>
        <w:t>ere is a large gap between points</w:t>
      </w:r>
      <w:r w:rsidR="00406BAF" w:rsidRPr="00406BAF">
        <w:rPr>
          <w:bCs/>
          <w:sz w:val="22"/>
          <w:szCs w:val="22"/>
        </w:rPr>
        <w:t xml:space="preserve"> 42 and 45 (1272 vs 1555).</w:t>
      </w:r>
      <w:r w:rsidR="00406BAF">
        <w:rPr>
          <w:bCs/>
          <w:sz w:val="22"/>
          <w:szCs w:val="22"/>
        </w:rPr>
        <w:t xml:space="preserve"> </w:t>
      </w:r>
    </w:p>
    <w:p w:rsidR="000A304B" w:rsidRDefault="000A304B" w:rsidP="00406BAF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53524A">
        <w:rPr>
          <w:bCs/>
          <w:sz w:val="22"/>
          <w:szCs w:val="22"/>
        </w:rPr>
        <w:t xml:space="preserve">To be more thorough, </w:t>
      </w:r>
      <w:r>
        <w:rPr>
          <w:bCs/>
          <w:sz w:val="22"/>
          <w:szCs w:val="22"/>
        </w:rPr>
        <w:t>the Grubbs tes</w:t>
      </w:r>
      <w:r w:rsidR="00EB2B31">
        <w:rPr>
          <w:bCs/>
          <w:sz w:val="22"/>
          <w:szCs w:val="22"/>
        </w:rPr>
        <w:t xml:space="preserve">t </w:t>
      </w:r>
      <w:r w:rsidR="0053524A">
        <w:rPr>
          <w:bCs/>
          <w:sz w:val="22"/>
          <w:szCs w:val="22"/>
        </w:rPr>
        <w:t xml:space="preserve">is applied to the upper end. </w:t>
      </w:r>
      <w:r w:rsidR="0053524A">
        <w:rPr>
          <w:bCs/>
          <w:sz w:val="22"/>
          <w:szCs w:val="22"/>
        </w:rPr>
        <w:t xml:space="preserve">If the Grubbs test determines that the point is an outlier that point is removed and the test is run on the next point until a P value of 1 is reached, signifying that the point is not an outlier.  </w:t>
      </w:r>
      <w:r w:rsidR="0053524A">
        <w:rPr>
          <w:bCs/>
          <w:sz w:val="22"/>
          <w:szCs w:val="22"/>
        </w:rPr>
        <w:t xml:space="preserve"> T</w:t>
      </w:r>
      <w:r w:rsidR="00EB2B31">
        <w:rPr>
          <w:bCs/>
          <w:sz w:val="22"/>
          <w:szCs w:val="22"/>
        </w:rPr>
        <w:t xml:space="preserve">he </w:t>
      </w:r>
      <w:r w:rsidR="0053524A">
        <w:rPr>
          <w:bCs/>
          <w:sz w:val="22"/>
          <w:szCs w:val="22"/>
        </w:rPr>
        <w:t>P Values for the upper range are</w:t>
      </w:r>
      <w:r w:rsidR="00EB2B31">
        <w:rPr>
          <w:bCs/>
          <w:sz w:val="22"/>
          <w:szCs w:val="22"/>
        </w:rPr>
        <w:t xml:space="preserve"> as follows:</w:t>
      </w:r>
    </w:p>
    <w:p w:rsidR="00513301" w:rsidRDefault="00513301" w:rsidP="00406BAF">
      <w:pPr>
        <w:pStyle w:val="Default"/>
        <w:rPr>
          <w:bCs/>
          <w:sz w:val="22"/>
          <w:szCs w:val="22"/>
        </w:rPr>
      </w:pPr>
    </w:p>
    <w:p w:rsidR="00513301" w:rsidRDefault="00513301" w:rsidP="00406BAF">
      <w:pPr>
        <w:pStyle w:val="Default"/>
        <w:rPr>
          <w:bCs/>
          <w:sz w:val="22"/>
          <w:szCs w:val="22"/>
        </w:rPr>
      </w:pPr>
    </w:p>
    <w:p w:rsidR="00513301" w:rsidRDefault="00513301" w:rsidP="00406BAF">
      <w:pPr>
        <w:pStyle w:val="Default"/>
        <w:rPr>
          <w:bCs/>
          <w:sz w:val="22"/>
          <w:szCs w:val="22"/>
        </w:rPr>
      </w:pPr>
    </w:p>
    <w:p w:rsidR="00513301" w:rsidRDefault="00513301" w:rsidP="00406BAF">
      <w:pPr>
        <w:pStyle w:val="Default"/>
        <w:rPr>
          <w:bCs/>
          <w:sz w:val="22"/>
          <w:szCs w:val="22"/>
        </w:rPr>
      </w:pPr>
      <w:bookmarkStart w:id="0" w:name="_GoBack"/>
      <w:bookmarkEnd w:id="0"/>
    </w:p>
    <w:p w:rsidR="0053524A" w:rsidRDefault="0053524A" w:rsidP="00406BAF">
      <w:pPr>
        <w:pStyle w:val="Default"/>
        <w:rPr>
          <w:bCs/>
          <w:sz w:val="22"/>
          <w:szCs w:val="22"/>
        </w:rPr>
      </w:pP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lastRenderedPageBreak/>
        <w:t xml:space="preserve">     [</w:t>
      </w:r>
      <w:proofErr w:type="gram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]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[1,] 1993 0.07887486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[2,] 1969 0.02847821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[3,] 1674 0.17807968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[4,] 1635 0.11389923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[5,] 1555 0.10815574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[6,] 1272 1.00000000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[7,]   NA      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Fonts w:ascii="Lucida Console" w:hAnsi="Lucida Console"/>
          <w:color w:val="F8F8F8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[8,]   NA      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53524A" w:rsidRDefault="0053524A" w:rsidP="00406BAF">
      <w:pPr>
        <w:pStyle w:val="Default"/>
        <w:rPr>
          <w:bCs/>
          <w:sz w:val="22"/>
          <w:szCs w:val="22"/>
        </w:rPr>
      </w:pPr>
    </w:p>
    <w:p w:rsidR="00EB2B31" w:rsidRDefault="00EB2B31" w:rsidP="00406BAF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Here, the 6</w:t>
      </w:r>
      <w:r w:rsidRPr="00EB2B31">
        <w:rPr>
          <w:bCs/>
          <w:sz w:val="22"/>
          <w:szCs w:val="22"/>
          <w:vertAlign w:val="superscript"/>
        </w:rPr>
        <w:t>th</w:t>
      </w:r>
      <w:r>
        <w:rPr>
          <w:bCs/>
          <w:sz w:val="22"/>
          <w:szCs w:val="22"/>
        </w:rPr>
        <w:t xml:space="preserve"> point in question</w:t>
      </w:r>
      <w:r w:rsidR="00F01068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1272, was re</w:t>
      </w:r>
      <w:r w:rsidR="00F01068">
        <w:rPr>
          <w:bCs/>
          <w:sz w:val="22"/>
          <w:szCs w:val="22"/>
        </w:rPr>
        <w:t>ached and determined to not be an outlier</w:t>
      </w:r>
      <w:r w:rsidR="0053524A">
        <w:rPr>
          <w:bCs/>
          <w:sz w:val="22"/>
          <w:szCs w:val="22"/>
        </w:rPr>
        <w:t>, though the previous 5 point are determined to be outliers, which reinforces the earlier visual assessment.</w:t>
      </w:r>
    </w:p>
    <w:p w:rsidR="00406BAF" w:rsidRDefault="00F01068" w:rsidP="00F0106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The process was then repeated for the lower range, with no points showing as an outlier, as the </w:t>
      </w:r>
      <w:r w:rsidR="0053524A">
        <w:rPr>
          <w:bCs/>
          <w:sz w:val="22"/>
          <w:szCs w:val="22"/>
        </w:rPr>
        <w:t xml:space="preserve">first point's </w:t>
      </w:r>
      <w:proofErr w:type="spellStart"/>
      <w:r w:rsidR="0053524A">
        <w:rPr>
          <w:bCs/>
          <w:sz w:val="22"/>
          <w:szCs w:val="22"/>
        </w:rPr>
        <w:t>pvalue</w:t>
      </w:r>
      <w:proofErr w:type="spellEnd"/>
      <w:r w:rsidR="0053524A">
        <w:rPr>
          <w:bCs/>
          <w:sz w:val="22"/>
          <w:szCs w:val="22"/>
        </w:rPr>
        <w:t xml:space="preserve"> equals 1.  This means that </w:t>
      </w:r>
      <w:r w:rsidR="00406BAF" w:rsidRPr="00406BAF">
        <w:rPr>
          <w:bCs/>
          <w:sz w:val="22"/>
          <w:szCs w:val="22"/>
        </w:rPr>
        <w:t>no points were determined to be outliers and no data was removed.</w:t>
      </w:r>
    </w:p>
    <w:p w:rsidR="0053524A" w:rsidRDefault="0053524A" w:rsidP="00F01068">
      <w:pPr>
        <w:pStyle w:val="Default"/>
        <w:rPr>
          <w:bCs/>
          <w:sz w:val="22"/>
          <w:szCs w:val="22"/>
        </w:rPr>
      </w:pP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]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]  342</w:t>
      </w:r>
      <w:proofErr w:type="gramEnd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    1</w:t>
      </w:r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[2,]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[3,]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[4,]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[5,]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[6,]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Style w:val="gnkrckgcgsb"/>
          <w:rFonts w:ascii="Lucida Console" w:hAnsi="Lucida Console"/>
          <w:color w:val="F8F8F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[7,]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F01068" w:rsidRDefault="00F01068" w:rsidP="00F01068">
      <w:pPr>
        <w:pStyle w:val="HTMLPreformatted"/>
        <w:shd w:val="clear" w:color="auto" w:fill="141414"/>
        <w:wordWrap w:val="0"/>
        <w:spacing w:line="225" w:lineRule="atLeast"/>
        <w:rPr>
          <w:rFonts w:ascii="Lucida Console" w:hAnsi="Lucida Console"/>
          <w:color w:val="F8F8F8"/>
        </w:rPr>
      </w:pPr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 xml:space="preserve">[8,]   NA   </w:t>
      </w:r>
      <w:proofErr w:type="spellStart"/>
      <w:r>
        <w:rPr>
          <w:rStyle w:val="gnkrckgcgsb"/>
          <w:rFonts w:ascii="Lucida Console" w:hAnsi="Lucida Console"/>
          <w:color w:val="F8F8F8"/>
          <w:bdr w:val="none" w:sz="0" w:space="0" w:color="auto" w:frame="1"/>
        </w:rPr>
        <w:t>NA</w:t>
      </w:r>
      <w:proofErr w:type="spellEnd"/>
    </w:p>
    <w:p w:rsidR="00406BAF" w:rsidRPr="00406BAF" w:rsidRDefault="00406BAF" w:rsidP="00406BAF">
      <w:pPr>
        <w:pStyle w:val="Default"/>
        <w:rPr>
          <w:bCs/>
          <w:sz w:val="22"/>
          <w:szCs w:val="22"/>
        </w:rPr>
      </w:pPr>
    </w:p>
    <w:p w:rsidR="00406BAF" w:rsidRDefault="00406BAF" w:rsidP="00406BAF">
      <w:pPr>
        <w:pStyle w:val="Default"/>
        <w:rPr>
          <w:b/>
          <w:bCs/>
          <w:sz w:val="22"/>
          <w:szCs w:val="22"/>
        </w:rPr>
      </w:pPr>
    </w:p>
    <w:p w:rsidR="00406BAF" w:rsidRDefault="00406BAF" w:rsidP="00406BAF">
      <w:pPr>
        <w:pStyle w:val="Default"/>
        <w:rPr>
          <w:b/>
          <w:bCs/>
          <w:sz w:val="22"/>
          <w:szCs w:val="22"/>
        </w:rPr>
      </w:pPr>
    </w:p>
    <w:p w:rsidR="00406BAF" w:rsidRDefault="00406BAF" w:rsidP="00406BAF">
      <w:pPr>
        <w:pStyle w:val="Default"/>
        <w:rPr>
          <w:b/>
          <w:bCs/>
          <w:sz w:val="22"/>
          <w:szCs w:val="22"/>
        </w:rPr>
      </w:pPr>
    </w:p>
    <w:p w:rsidR="00406BAF" w:rsidRDefault="00F01068" w:rsidP="0053524A">
      <w:r>
        <w:rPr>
          <w:b/>
          <w:bCs/>
        </w:rPr>
        <w:br w:type="page"/>
      </w:r>
      <w:r w:rsidR="00406BAF">
        <w:rPr>
          <w:b/>
          <w:bCs/>
        </w:rPr>
        <w:lastRenderedPageBreak/>
        <w:t xml:space="preserve">Question 6.1 </w:t>
      </w:r>
    </w:p>
    <w:p w:rsidR="00406BAF" w:rsidRPr="00F01068" w:rsidRDefault="00406BAF" w:rsidP="00406BAF">
      <w:pPr>
        <w:pStyle w:val="Default"/>
        <w:rPr>
          <w:b/>
          <w:sz w:val="22"/>
          <w:szCs w:val="22"/>
        </w:rPr>
      </w:pPr>
      <w:r w:rsidRPr="00F01068">
        <w:rPr>
          <w:b/>
          <w:sz w:val="22"/>
          <w:szCs w:val="22"/>
        </w:rPr>
        <w:t xml:space="preserve">Describe a situation or problem from your job, everyday life, current events, etc., for which a Change Detection model would be appropriate. Applying the CUSUM technique, how would you choose the critical value and the threshold? </w:t>
      </w:r>
    </w:p>
    <w:p w:rsidR="00406BAF" w:rsidRDefault="00406BAF" w:rsidP="00406BAF">
      <w:pPr>
        <w:pStyle w:val="Default"/>
        <w:rPr>
          <w:b/>
          <w:bCs/>
          <w:sz w:val="22"/>
          <w:szCs w:val="22"/>
        </w:rPr>
      </w:pPr>
    </w:p>
    <w:p w:rsidR="00F01068" w:rsidRPr="00705E98" w:rsidRDefault="00705E98" w:rsidP="00406BAF">
      <w:pPr>
        <w:pStyle w:val="Default"/>
        <w:rPr>
          <w:bCs/>
          <w:sz w:val="22"/>
          <w:szCs w:val="22"/>
        </w:rPr>
      </w:pPr>
      <w:r w:rsidRPr="00705E98">
        <w:rPr>
          <w:bCs/>
          <w:sz w:val="22"/>
          <w:szCs w:val="22"/>
        </w:rPr>
        <w:t>I work for a natural gas turbine OEM</w:t>
      </w:r>
      <w:r>
        <w:rPr>
          <w:bCs/>
          <w:sz w:val="22"/>
          <w:szCs w:val="22"/>
        </w:rPr>
        <w:t xml:space="preserve"> and the CUSUM approach would be good for implementing analytics to track the degradation</w:t>
      </w:r>
      <w:r w:rsidR="0053524A">
        <w:rPr>
          <w:bCs/>
          <w:sz w:val="22"/>
          <w:szCs w:val="22"/>
        </w:rPr>
        <w:t>, or decrease in output over time,</w:t>
      </w:r>
      <w:r>
        <w:rPr>
          <w:bCs/>
          <w:sz w:val="22"/>
          <w:szCs w:val="22"/>
        </w:rPr>
        <w:t xml:space="preserve"> of a unit.  We have programs that </w:t>
      </w:r>
      <w:r w:rsidR="0053524A">
        <w:rPr>
          <w:bCs/>
          <w:sz w:val="22"/>
          <w:szCs w:val="22"/>
        </w:rPr>
        <w:t>record</w:t>
      </w:r>
      <w:r>
        <w:rPr>
          <w:bCs/>
          <w:sz w:val="22"/>
          <w:szCs w:val="22"/>
        </w:rPr>
        <w:t xml:space="preserve"> historical data of the gas turbines </w:t>
      </w:r>
      <w:r w:rsidR="0053524A">
        <w:rPr>
          <w:bCs/>
          <w:sz w:val="22"/>
          <w:szCs w:val="22"/>
        </w:rPr>
        <w:t xml:space="preserve">and a </w:t>
      </w:r>
      <w:r>
        <w:rPr>
          <w:bCs/>
          <w:sz w:val="22"/>
          <w:szCs w:val="22"/>
        </w:rPr>
        <w:t xml:space="preserve">CUSUM approach could be </w:t>
      </w:r>
      <w:r w:rsidR="0053524A">
        <w:rPr>
          <w:bCs/>
          <w:sz w:val="22"/>
          <w:szCs w:val="22"/>
        </w:rPr>
        <w:t>applied to this data.  When the threshold is reached, it could</w:t>
      </w:r>
      <w:r>
        <w:rPr>
          <w:bCs/>
          <w:sz w:val="22"/>
          <w:szCs w:val="22"/>
        </w:rPr>
        <w:t xml:space="preserve"> signify when a unit has degraded enough that a compressor wash or other maintenance is advisable to recover the lost performance or signal that the degradation</w:t>
      </w:r>
      <w:r w:rsidR="0053524A">
        <w:rPr>
          <w:bCs/>
          <w:sz w:val="22"/>
          <w:szCs w:val="22"/>
        </w:rPr>
        <w:t xml:space="preserve"> is higher sooner than predicted</w:t>
      </w:r>
      <w:r>
        <w:rPr>
          <w:bCs/>
          <w:sz w:val="22"/>
          <w:szCs w:val="22"/>
        </w:rPr>
        <w:t xml:space="preserve"> </w:t>
      </w:r>
      <w:r w:rsidR="0053524A">
        <w:rPr>
          <w:bCs/>
          <w:sz w:val="22"/>
          <w:szCs w:val="22"/>
        </w:rPr>
        <w:t xml:space="preserve">and thus </w:t>
      </w:r>
      <w:r>
        <w:rPr>
          <w:bCs/>
          <w:sz w:val="22"/>
          <w:szCs w:val="22"/>
        </w:rPr>
        <w:t>should be investigate</w:t>
      </w:r>
      <w:r w:rsidR="0053524A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further. The thresholds could be based off our OEM degradation curves, and since we would be using corrected performance (i.e. correcting for ambient conditions such as temperature, barometric pressure, etc.)</w:t>
      </w:r>
      <w:proofErr w:type="gramStart"/>
      <w:r w:rsidR="0053524A">
        <w:rPr>
          <w:bCs/>
          <w:sz w:val="22"/>
          <w:szCs w:val="22"/>
        </w:rPr>
        <w:t>,</w:t>
      </w:r>
      <w:proofErr w:type="gramEnd"/>
      <w:r>
        <w:rPr>
          <w:bCs/>
          <w:sz w:val="22"/>
          <w:szCs w:val="22"/>
        </w:rPr>
        <w:t xml:space="preserve"> the C value would be small as there wouldn’t be as much variation in the data.</w:t>
      </w:r>
    </w:p>
    <w:p w:rsidR="00F01068" w:rsidRPr="00705E98" w:rsidRDefault="00F01068" w:rsidP="00406BAF">
      <w:pPr>
        <w:pStyle w:val="Default"/>
        <w:rPr>
          <w:bCs/>
          <w:sz w:val="22"/>
          <w:szCs w:val="22"/>
        </w:rPr>
      </w:pPr>
    </w:p>
    <w:p w:rsidR="00406BAF" w:rsidRPr="00705E98" w:rsidRDefault="00406BAF" w:rsidP="00406BAF">
      <w:pPr>
        <w:pStyle w:val="Default"/>
        <w:rPr>
          <w:bCs/>
          <w:sz w:val="22"/>
          <w:szCs w:val="22"/>
        </w:rPr>
      </w:pPr>
    </w:p>
    <w:p w:rsidR="00406BAF" w:rsidRPr="00705E98" w:rsidRDefault="00406BAF" w:rsidP="00406BAF">
      <w:pPr>
        <w:pStyle w:val="Default"/>
        <w:rPr>
          <w:bCs/>
          <w:sz w:val="22"/>
          <w:szCs w:val="22"/>
        </w:rPr>
      </w:pPr>
    </w:p>
    <w:p w:rsidR="00406BAF" w:rsidRDefault="00406BAF" w:rsidP="00406B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6.2 </w:t>
      </w:r>
    </w:p>
    <w:p w:rsidR="00406BAF" w:rsidRPr="0006752E" w:rsidRDefault="00406BAF" w:rsidP="00406BAF">
      <w:pPr>
        <w:pStyle w:val="Default"/>
        <w:spacing w:after="20"/>
        <w:rPr>
          <w:b/>
          <w:sz w:val="22"/>
          <w:szCs w:val="22"/>
        </w:rPr>
      </w:pPr>
      <w:r w:rsidRPr="0006752E">
        <w:rPr>
          <w:b/>
          <w:sz w:val="22"/>
          <w:szCs w:val="22"/>
        </w:rPr>
        <w:t xml:space="preserve">1. Using July through October daily-high-temperature data for Atlanta for 1996 through 2015, use a CUSUM approach to identify when unofficial summer ends (i.e., when the weather starts cooling off) each year. You can get the data that you need from the file </w:t>
      </w:r>
      <w:r w:rsidRPr="0006752E">
        <w:rPr>
          <w:rFonts w:ascii="Courier New" w:hAnsi="Courier New" w:cs="Courier New"/>
          <w:b/>
          <w:sz w:val="22"/>
          <w:szCs w:val="22"/>
        </w:rPr>
        <w:t xml:space="preserve">temps.txt </w:t>
      </w:r>
      <w:r w:rsidRPr="0006752E">
        <w:rPr>
          <w:b/>
          <w:sz w:val="22"/>
          <w:szCs w:val="22"/>
        </w:rPr>
        <w:t>or online, for example at http://www.iweathernet.com/atlanta-weather-records or https://www.wunderground.com/history/airport/KFTY/2015/7/1/</w:t>
      </w:r>
      <w:proofErr w:type="gramStart"/>
      <w:r w:rsidRPr="0006752E">
        <w:rPr>
          <w:b/>
          <w:sz w:val="22"/>
          <w:szCs w:val="22"/>
        </w:rPr>
        <w:t>CustomHistory.html .</w:t>
      </w:r>
      <w:proofErr w:type="gramEnd"/>
      <w:r w:rsidRPr="0006752E">
        <w:rPr>
          <w:b/>
          <w:sz w:val="22"/>
          <w:szCs w:val="22"/>
        </w:rPr>
        <w:t xml:space="preserve"> You can use R if you’d like, but it’s straightforward enough that an Excel spreadsheet can easily do the job too. </w:t>
      </w:r>
    </w:p>
    <w:p w:rsidR="001B7C89" w:rsidRPr="001B7C89" w:rsidRDefault="001B7C89" w:rsidP="00406BAF">
      <w:pPr>
        <w:pStyle w:val="Default"/>
        <w:rPr>
          <w:sz w:val="22"/>
          <w:szCs w:val="22"/>
        </w:rPr>
      </w:pPr>
    </w:p>
    <w:p w:rsidR="003925CA" w:rsidRDefault="00ED6FEB" w:rsidP="00ED6F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averaged the years together to get the daily average, </w:t>
      </w: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applied the CUSUM method.  With mu </w:t>
      </w:r>
      <w:r w:rsidR="0053524A">
        <w:rPr>
          <w:sz w:val="22"/>
          <w:szCs w:val="22"/>
        </w:rPr>
        <w:t>equal to</w:t>
      </w:r>
      <w:r>
        <w:rPr>
          <w:sz w:val="22"/>
          <w:szCs w:val="22"/>
        </w:rPr>
        <w:t xml:space="preserve"> t</w:t>
      </w:r>
      <w:r w:rsidR="0053524A">
        <w:rPr>
          <w:sz w:val="22"/>
          <w:szCs w:val="22"/>
        </w:rPr>
        <w:t xml:space="preserve">he average of 1 JUL – 15 AUG, C equal to </w:t>
      </w:r>
      <w:r>
        <w:rPr>
          <w:sz w:val="22"/>
          <w:szCs w:val="22"/>
        </w:rPr>
        <w:t>1</w:t>
      </w:r>
      <w:r w:rsidR="0053524A">
        <w:rPr>
          <w:sz w:val="22"/>
          <w:szCs w:val="22"/>
        </w:rPr>
        <w:t xml:space="preserve"> </w:t>
      </w:r>
      <w:proofErr w:type="spellStart"/>
      <w:r w:rsidR="0053524A">
        <w:rPr>
          <w:sz w:val="22"/>
          <w:szCs w:val="22"/>
        </w:rPr>
        <w:t>degF</w:t>
      </w:r>
      <w:proofErr w:type="spellEnd"/>
      <w:r>
        <w:rPr>
          <w:sz w:val="22"/>
          <w:szCs w:val="22"/>
        </w:rPr>
        <w:t>,</w:t>
      </w:r>
      <w:r w:rsidR="0053524A">
        <w:rPr>
          <w:sz w:val="22"/>
          <w:szCs w:val="22"/>
        </w:rPr>
        <w:t xml:space="preserve"> and T equal to </w:t>
      </w:r>
      <w:r w:rsidR="00C64022">
        <w:rPr>
          <w:sz w:val="22"/>
          <w:szCs w:val="22"/>
        </w:rPr>
        <w:t>2.5</w:t>
      </w:r>
      <w:r w:rsidR="0053524A">
        <w:rPr>
          <w:sz w:val="22"/>
          <w:szCs w:val="22"/>
        </w:rPr>
        <w:t xml:space="preserve"> </w:t>
      </w:r>
      <w:proofErr w:type="spellStart"/>
      <w:r w:rsidR="0053524A">
        <w:rPr>
          <w:sz w:val="22"/>
          <w:szCs w:val="22"/>
        </w:rPr>
        <w:t>degF</w:t>
      </w:r>
      <w:proofErr w:type="spellEnd"/>
      <w:r w:rsidR="00C64022">
        <w:rPr>
          <w:sz w:val="22"/>
          <w:szCs w:val="22"/>
        </w:rPr>
        <w:t xml:space="preserve">, </w:t>
      </w:r>
      <w:r w:rsidR="00784C3C">
        <w:rPr>
          <w:sz w:val="22"/>
          <w:szCs w:val="22"/>
        </w:rPr>
        <w:t>the unofficial last day of summer is 29 AUG</w:t>
      </w:r>
      <w:r>
        <w:rPr>
          <w:sz w:val="22"/>
          <w:szCs w:val="22"/>
        </w:rPr>
        <w:t>.</w:t>
      </w:r>
    </w:p>
    <w:p w:rsidR="00ED6FEB" w:rsidRDefault="00ED6FEB" w:rsidP="00ED6FE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a slight cooling in the middle of July that, if C = 0, makes it appear that the summer has cooled down.  However, even moving to C = 1 removes these false positives.  </w:t>
      </w:r>
    </w:p>
    <w:p w:rsidR="00ED6FEB" w:rsidRDefault="00C64022" w:rsidP="00ED6FEB">
      <w:pPr>
        <w:pStyle w:val="Default"/>
        <w:ind w:left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119675</wp:posOffset>
            </wp:positionV>
            <wp:extent cx="5709684" cy="3593805"/>
            <wp:effectExtent l="0" t="0" r="24765" b="2603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FEB" w:rsidRPr="001B7C89" w:rsidRDefault="00ED6FEB" w:rsidP="00ED6FEB">
      <w:pPr>
        <w:pStyle w:val="Default"/>
        <w:ind w:left="720"/>
        <w:rPr>
          <w:sz w:val="22"/>
          <w:szCs w:val="22"/>
        </w:rPr>
      </w:pPr>
    </w:p>
    <w:p w:rsidR="001B7C89" w:rsidRPr="001B7C89" w:rsidRDefault="001B7C89" w:rsidP="00406BAF">
      <w:pPr>
        <w:pStyle w:val="Default"/>
        <w:rPr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C64022" w:rsidRDefault="00C64022" w:rsidP="00406BAF">
      <w:pPr>
        <w:pStyle w:val="Default"/>
        <w:rPr>
          <w:b/>
          <w:sz w:val="22"/>
          <w:szCs w:val="22"/>
        </w:rPr>
      </w:pPr>
    </w:p>
    <w:p w:rsidR="00406BAF" w:rsidRPr="0006752E" w:rsidRDefault="00406BAF" w:rsidP="00406BAF">
      <w:pPr>
        <w:pStyle w:val="Default"/>
        <w:rPr>
          <w:b/>
          <w:sz w:val="22"/>
          <w:szCs w:val="22"/>
        </w:rPr>
      </w:pPr>
      <w:r w:rsidRPr="0006752E">
        <w:rPr>
          <w:b/>
          <w:sz w:val="22"/>
          <w:szCs w:val="22"/>
        </w:rPr>
        <w:t xml:space="preserve">2. Use a CUSUM approach to make a judgment of whether Atlanta’s summer climate has gotten warmer in that time (and if so, when). </w:t>
      </w:r>
    </w:p>
    <w:p w:rsidR="00784C3C" w:rsidRDefault="00784C3C" w:rsidP="00406BAF">
      <w:pPr>
        <w:spacing w:after="0"/>
      </w:pPr>
    </w:p>
    <w:p w:rsidR="004E43F1" w:rsidRDefault="0053524A" w:rsidP="00406BAF">
      <w:pPr>
        <w:spacing w:after="0"/>
      </w:pPr>
      <w:r>
        <w:t>If we take 29</w:t>
      </w:r>
      <w:r w:rsidR="00C64022">
        <w:t xml:space="preserve"> AUG as the unofficial </w:t>
      </w:r>
      <w:r>
        <w:t>last day</w:t>
      </w:r>
      <w:r w:rsidR="00C64022">
        <w:t xml:space="preserve"> of summer, then </w:t>
      </w:r>
      <w:r w:rsidR="00CC3B71">
        <w:t>applying the CUSUM method to</w:t>
      </w:r>
      <w:r w:rsidR="00C64022">
        <w:t xml:space="preserve"> the average temperature between 1 JUL an</w:t>
      </w:r>
      <w:r>
        <w:t>d 29</w:t>
      </w:r>
      <w:r w:rsidR="00C64022">
        <w:t xml:space="preserve"> AUG</w:t>
      </w:r>
      <w:r w:rsidR="00CC3B71">
        <w:t xml:space="preserve"> of each year</w:t>
      </w:r>
      <w:r w:rsidR="00C64022">
        <w:t xml:space="preserve"> should give an estimate of the change in sum</w:t>
      </w:r>
      <w:r w:rsidR="003A4B64">
        <w:t>mer temperatures over the years.  However,</w:t>
      </w:r>
      <w:r w:rsidR="006C7A0C">
        <w:t xml:space="preserve"> using a threshold of 2 </w:t>
      </w:r>
      <w:proofErr w:type="spellStart"/>
      <w:r w:rsidR="006C7A0C">
        <w:t>degF</w:t>
      </w:r>
      <w:proofErr w:type="spellEnd"/>
      <w:r w:rsidR="006C7A0C">
        <w:t xml:space="preserve"> and a C value of 1 </w:t>
      </w:r>
      <w:proofErr w:type="spellStart"/>
      <w:r w:rsidR="006C7A0C">
        <w:t>degF</w:t>
      </w:r>
      <w:proofErr w:type="spellEnd"/>
      <w:r w:rsidR="006C7A0C">
        <w:t>,</w:t>
      </w:r>
      <w:r w:rsidR="003A4B64">
        <w:t xml:space="preserve"> it doesn’t appear that a good determination can be made.  </w:t>
      </w:r>
      <w:r w:rsidR="00EE1865">
        <w:t>Applying both and increasing and decreasing CUSUM approach to the data</w:t>
      </w:r>
      <w:r w:rsidR="003A4B64">
        <w:t xml:space="preserve">, there are years when the average summer temperature rises </w:t>
      </w:r>
      <w:r w:rsidR="006C7A0C">
        <w:t>(2011-2012)</w:t>
      </w:r>
      <w:r w:rsidR="00EE1865">
        <w:t>,</w:t>
      </w:r>
      <w:r w:rsidR="006C7A0C">
        <w:t xml:space="preserve"> </w:t>
      </w:r>
      <w:r w:rsidR="003A4B64">
        <w:t>but there are also years when the average temperature falls</w:t>
      </w:r>
      <w:r w:rsidR="006C7A0C">
        <w:t xml:space="preserve"> (2004-2005 and 2013-2014</w:t>
      </w:r>
      <w:r w:rsidR="00EE1865">
        <w:t>)</w:t>
      </w:r>
      <w:r w:rsidR="003A4B64">
        <w:t>, as shown below.</w:t>
      </w:r>
    </w:p>
    <w:p w:rsidR="003A4B64" w:rsidRDefault="003A4B64" w:rsidP="00406BAF">
      <w:pPr>
        <w:spacing w:after="0"/>
      </w:pPr>
    </w:p>
    <w:p w:rsidR="003A4B64" w:rsidRDefault="003A4B64" w:rsidP="00406BAF">
      <w:pPr>
        <w:spacing w:after="0"/>
      </w:pPr>
      <w:r>
        <w:rPr>
          <w:noProof/>
        </w:rPr>
        <w:drawing>
          <wp:inline distT="0" distB="0" distL="0" distR="0" wp14:anchorId="197B0B3D">
            <wp:extent cx="5964865" cy="383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88" cy="3837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022" w:rsidRDefault="00C64022" w:rsidP="00406BAF">
      <w:pPr>
        <w:spacing w:after="0"/>
      </w:pPr>
    </w:p>
    <w:sectPr w:rsidR="00C6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4ACD"/>
    <w:multiLevelType w:val="hybridMultilevel"/>
    <w:tmpl w:val="24DA127C"/>
    <w:lvl w:ilvl="0" w:tplc="FE107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33FC"/>
    <w:multiLevelType w:val="hybridMultilevel"/>
    <w:tmpl w:val="8A2E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AF"/>
    <w:rsid w:val="0006752E"/>
    <w:rsid w:val="000A304B"/>
    <w:rsid w:val="001B7C89"/>
    <w:rsid w:val="00365B87"/>
    <w:rsid w:val="003925CA"/>
    <w:rsid w:val="003A4B64"/>
    <w:rsid w:val="00406BAF"/>
    <w:rsid w:val="004E43F1"/>
    <w:rsid w:val="00513301"/>
    <w:rsid w:val="0053524A"/>
    <w:rsid w:val="005A4F70"/>
    <w:rsid w:val="006C7A0C"/>
    <w:rsid w:val="00705E98"/>
    <w:rsid w:val="00784C3C"/>
    <w:rsid w:val="009B22B5"/>
    <w:rsid w:val="00C64022"/>
    <w:rsid w:val="00CC3B71"/>
    <w:rsid w:val="00EB2B31"/>
    <w:rsid w:val="00ED6FEB"/>
    <w:rsid w:val="00EE1865"/>
    <w:rsid w:val="00F0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B3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B2B31"/>
  </w:style>
  <w:style w:type="paragraph" w:styleId="BalloonText">
    <w:name w:val="Balloon Text"/>
    <w:basedOn w:val="Normal"/>
    <w:link w:val="BalloonTextChar"/>
    <w:uiPriority w:val="99"/>
    <w:semiHidden/>
    <w:unhideWhenUsed/>
    <w:rsid w:val="00ED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B3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B2B31"/>
  </w:style>
  <w:style w:type="paragraph" w:styleId="BalloonText">
    <w:name w:val="Balloon Text"/>
    <w:basedOn w:val="Normal"/>
    <w:link w:val="BalloonTextChar"/>
    <w:uiPriority w:val="99"/>
    <w:semiHidden/>
    <w:unhideWhenUsed/>
    <w:rsid w:val="00ED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Avg. Daily Temperaturs vs. Date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478144811478144"/>
          <c:y val="9.0975233034142344E-2"/>
          <c:w val="0.84536639856076101"/>
          <c:h val="0.78212025965890053"/>
        </c:manualLayout>
      </c:layout>
      <c:scatterChart>
        <c:scatterStyle val="lineMarker"/>
        <c:varyColors val="0"/>
        <c:ser>
          <c:idx val="0"/>
          <c:order val="0"/>
          <c:tx>
            <c:v>CUSUM</c:v>
          </c:tx>
          <c:marker>
            <c:symbol val="none"/>
          </c:marker>
          <c:xVal>
            <c:numRef>
              <c:f>Sheet1!$A$2:$A$66</c:f>
              <c:numCache>
                <c:formatCode>d\-mmm</c:formatCode>
                <c:ptCount val="65"/>
                <c:pt idx="0">
                  <c:v>43282</c:v>
                </c:pt>
                <c:pt idx="1">
                  <c:v>43283</c:v>
                </c:pt>
                <c:pt idx="2">
                  <c:v>43284</c:v>
                </c:pt>
                <c:pt idx="3">
                  <c:v>43285</c:v>
                </c:pt>
                <c:pt idx="4">
                  <c:v>43286</c:v>
                </c:pt>
                <c:pt idx="5">
                  <c:v>43287</c:v>
                </c:pt>
                <c:pt idx="6">
                  <c:v>43288</c:v>
                </c:pt>
                <c:pt idx="7">
                  <c:v>43289</c:v>
                </c:pt>
                <c:pt idx="8">
                  <c:v>43290</c:v>
                </c:pt>
                <c:pt idx="9">
                  <c:v>43291</c:v>
                </c:pt>
                <c:pt idx="10">
                  <c:v>43292</c:v>
                </c:pt>
                <c:pt idx="11">
                  <c:v>43293</c:v>
                </c:pt>
                <c:pt idx="12">
                  <c:v>43294</c:v>
                </c:pt>
                <c:pt idx="13">
                  <c:v>43295</c:v>
                </c:pt>
                <c:pt idx="14">
                  <c:v>43296</c:v>
                </c:pt>
                <c:pt idx="15">
                  <c:v>43297</c:v>
                </c:pt>
                <c:pt idx="16">
                  <c:v>43298</c:v>
                </c:pt>
                <c:pt idx="17">
                  <c:v>43299</c:v>
                </c:pt>
                <c:pt idx="18">
                  <c:v>43300</c:v>
                </c:pt>
                <c:pt idx="19">
                  <c:v>43301</c:v>
                </c:pt>
                <c:pt idx="20">
                  <c:v>43302</c:v>
                </c:pt>
                <c:pt idx="21">
                  <c:v>43303</c:v>
                </c:pt>
                <c:pt idx="22">
                  <c:v>43304</c:v>
                </c:pt>
                <c:pt idx="23">
                  <c:v>43305</c:v>
                </c:pt>
                <c:pt idx="24">
                  <c:v>43306</c:v>
                </c:pt>
                <c:pt idx="25">
                  <c:v>43307</c:v>
                </c:pt>
                <c:pt idx="26">
                  <c:v>43308</c:v>
                </c:pt>
                <c:pt idx="27">
                  <c:v>43309</c:v>
                </c:pt>
                <c:pt idx="28">
                  <c:v>43310</c:v>
                </c:pt>
                <c:pt idx="29">
                  <c:v>43311</c:v>
                </c:pt>
                <c:pt idx="30">
                  <c:v>43312</c:v>
                </c:pt>
                <c:pt idx="31">
                  <c:v>43313</c:v>
                </c:pt>
                <c:pt idx="32">
                  <c:v>43314</c:v>
                </c:pt>
                <c:pt idx="33">
                  <c:v>43315</c:v>
                </c:pt>
                <c:pt idx="34">
                  <c:v>43316</c:v>
                </c:pt>
                <c:pt idx="35">
                  <c:v>43317</c:v>
                </c:pt>
                <c:pt idx="36">
                  <c:v>43318</c:v>
                </c:pt>
                <c:pt idx="37">
                  <c:v>43319</c:v>
                </c:pt>
                <c:pt idx="38">
                  <c:v>43320</c:v>
                </c:pt>
                <c:pt idx="39">
                  <c:v>43321</c:v>
                </c:pt>
                <c:pt idx="40">
                  <c:v>43322</c:v>
                </c:pt>
                <c:pt idx="41">
                  <c:v>43323</c:v>
                </c:pt>
                <c:pt idx="42">
                  <c:v>43324</c:v>
                </c:pt>
                <c:pt idx="43">
                  <c:v>43325</c:v>
                </c:pt>
                <c:pt idx="44">
                  <c:v>43326</c:v>
                </c:pt>
                <c:pt idx="45">
                  <c:v>43327</c:v>
                </c:pt>
                <c:pt idx="46">
                  <c:v>43328</c:v>
                </c:pt>
                <c:pt idx="47">
                  <c:v>43329</c:v>
                </c:pt>
                <c:pt idx="48">
                  <c:v>43330</c:v>
                </c:pt>
                <c:pt idx="49">
                  <c:v>43331</c:v>
                </c:pt>
                <c:pt idx="50">
                  <c:v>43332</c:v>
                </c:pt>
                <c:pt idx="51">
                  <c:v>43333</c:v>
                </c:pt>
                <c:pt idx="52">
                  <c:v>43334</c:v>
                </c:pt>
                <c:pt idx="53">
                  <c:v>43335</c:v>
                </c:pt>
                <c:pt idx="54">
                  <c:v>43336</c:v>
                </c:pt>
                <c:pt idx="55">
                  <c:v>43337</c:v>
                </c:pt>
                <c:pt idx="56">
                  <c:v>43338</c:v>
                </c:pt>
                <c:pt idx="57">
                  <c:v>43339</c:v>
                </c:pt>
                <c:pt idx="58">
                  <c:v>43340</c:v>
                </c:pt>
                <c:pt idx="59">
                  <c:v>43341</c:v>
                </c:pt>
                <c:pt idx="60">
                  <c:v>43342</c:v>
                </c:pt>
                <c:pt idx="61">
                  <c:v>43343</c:v>
                </c:pt>
                <c:pt idx="62">
                  <c:v>43344</c:v>
                </c:pt>
                <c:pt idx="63">
                  <c:v>43345</c:v>
                </c:pt>
                <c:pt idx="64">
                  <c:v>43346</c:v>
                </c:pt>
              </c:numCache>
            </c:numRef>
          </c:xVal>
          <c:yVal>
            <c:numRef>
              <c:f>Sheet1!$W$2:$W$66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0.73260869565220332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0.6326086956521948</c:v>
                </c:pt>
                <c:pt idx="13">
                  <c:v>0.26521739130438959</c:v>
                </c:pt>
                <c:pt idx="14">
                  <c:v>1.0978260869565872</c:v>
                </c:pt>
                <c:pt idx="15">
                  <c:v>0.83043478260879056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1.3326086956521976</c:v>
                </c:pt>
                <c:pt idx="56">
                  <c:v>0.71521739130439244</c:v>
                </c:pt>
                <c:pt idx="57">
                  <c:v>0.94782608695659576</c:v>
                </c:pt>
                <c:pt idx="58">
                  <c:v>1.6304347826087877</c:v>
                </c:pt>
                <c:pt idx="59">
                  <c:v>1.1630434782609882</c:v>
                </c:pt>
                <c:pt idx="60">
                  <c:v>3.1956521739131887</c:v>
                </c:pt>
                <c:pt idx="61">
                  <c:v>5.1282608695653806</c:v>
                </c:pt>
                <c:pt idx="62">
                  <c:v>7.7108695652175783</c:v>
                </c:pt>
                <c:pt idx="63">
                  <c:v>10.293478260869776</c:v>
                </c:pt>
                <c:pt idx="64">
                  <c:v>12.226086956521968</c:v>
                </c:pt>
              </c:numCache>
            </c:numRef>
          </c:yVal>
          <c:smooth val="0"/>
        </c:ser>
        <c:ser>
          <c:idx val="1"/>
          <c:order val="1"/>
          <c:tx>
            <c:v>Avg Daily Temps</c:v>
          </c:tx>
          <c:marker>
            <c:symbol val="none"/>
          </c:marker>
          <c:xVal>
            <c:numRef>
              <c:f>Sheet1!$A$2:$A$66</c:f>
              <c:numCache>
                <c:formatCode>d\-mmm</c:formatCode>
                <c:ptCount val="65"/>
                <c:pt idx="0">
                  <c:v>43282</c:v>
                </c:pt>
                <c:pt idx="1">
                  <c:v>43283</c:v>
                </c:pt>
                <c:pt idx="2">
                  <c:v>43284</c:v>
                </c:pt>
                <c:pt idx="3">
                  <c:v>43285</c:v>
                </c:pt>
                <c:pt idx="4">
                  <c:v>43286</c:v>
                </c:pt>
                <c:pt idx="5">
                  <c:v>43287</c:v>
                </c:pt>
                <c:pt idx="6">
                  <c:v>43288</c:v>
                </c:pt>
                <c:pt idx="7">
                  <c:v>43289</c:v>
                </c:pt>
                <c:pt idx="8">
                  <c:v>43290</c:v>
                </c:pt>
                <c:pt idx="9">
                  <c:v>43291</c:v>
                </c:pt>
                <c:pt idx="10">
                  <c:v>43292</c:v>
                </c:pt>
                <c:pt idx="11">
                  <c:v>43293</c:v>
                </c:pt>
                <c:pt idx="12">
                  <c:v>43294</c:v>
                </c:pt>
                <c:pt idx="13">
                  <c:v>43295</c:v>
                </c:pt>
                <c:pt idx="14">
                  <c:v>43296</c:v>
                </c:pt>
                <c:pt idx="15">
                  <c:v>43297</c:v>
                </c:pt>
                <c:pt idx="16">
                  <c:v>43298</c:v>
                </c:pt>
                <c:pt idx="17">
                  <c:v>43299</c:v>
                </c:pt>
                <c:pt idx="18">
                  <c:v>43300</c:v>
                </c:pt>
                <c:pt idx="19">
                  <c:v>43301</c:v>
                </c:pt>
                <c:pt idx="20">
                  <c:v>43302</c:v>
                </c:pt>
                <c:pt idx="21">
                  <c:v>43303</c:v>
                </c:pt>
                <c:pt idx="22">
                  <c:v>43304</c:v>
                </c:pt>
                <c:pt idx="23">
                  <c:v>43305</c:v>
                </c:pt>
                <c:pt idx="24">
                  <c:v>43306</c:v>
                </c:pt>
                <c:pt idx="25">
                  <c:v>43307</c:v>
                </c:pt>
                <c:pt idx="26">
                  <c:v>43308</c:v>
                </c:pt>
                <c:pt idx="27">
                  <c:v>43309</c:v>
                </c:pt>
                <c:pt idx="28">
                  <c:v>43310</c:v>
                </c:pt>
                <c:pt idx="29">
                  <c:v>43311</c:v>
                </c:pt>
                <c:pt idx="30">
                  <c:v>43312</c:v>
                </c:pt>
                <c:pt idx="31">
                  <c:v>43313</c:v>
                </c:pt>
                <c:pt idx="32">
                  <c:v>43314</c:v>
                </c:pt>
                <c:pt idx="33">
                  <c:v>43315</c:v>
                </c:pt>
                <c:pt idx="34">
                  <c:v>43316</c:v>
                </c:pt>
                <c:pt idx="35">
                  <c:v>43317</c:v>
                </c:pt>
                <c:pt idx="36">
                  <c:v>43318</c:v>
                </c:pt>
                <c:pt idx="37">
                  <c:v>43319</c:v>
                </c:pt>
                <c:pt idx="38">
                  <c:v>43320</c:v>
                </c:pt>
                <c:pt idx="39">
                  <c:v>43321</c:v>
                </c:pt>
                <c:pt idx="40">
                  <c:v>43322</c:v>
                </c:pt>
                <c:pt idx="41">
                  <c:v>43323</c:v>
                </c:pt>
                <c:pt idx="42">
                  <c:v>43324</c:v>
                </c:pt>
                <c:pt idx="43">
                  <c:v>43325</c:v>
                </c:pt>
                <c:pt idx="44">
                  <c:v>43326</c:v>
                </c:pt>
                <c:pt idx="45">
                  <c:v>43327</c:v>
                </c:pt>
                <c:pt idx="46">
                  <c:v>43328</c:v>
                </c:pt>
                <c:pt idx="47">
                  <c:v>43329</c:v>
                </c:pt>
                <c:pt idx="48">
                  <c:v>43330</c:v>
                </c:pt>
                <c:pt idx="49">
                  <c:v>43331</c:v>
                </c:pt>
                <c:pt idx="50">
                  <c:v>43332</c:v>
                </c:pt>
                <c:pt idx="51">
                  <c:v>43333</c:v>
                </c:pt>
                <c:pt idx="52">
                  <c:v>43334</c:v>
                </c:pt>
                <c:pt idx="53">
                  <c:v>43335</c:v>
                </c:pt>
                <c:pt idx="54">
                  <c:v>43336</c:v>
                </c:pt>
                <c:pt idx="55">
                  <c:v>43337</c:v>
                </c:pt>
                <c:pt idx="56">
                  <c:v>43338</c:v>
                </c:pt>
                <c:pt idx="57">
                  <c:v>43339</c:v>
                </c:pt>
                <c:pt idx="58">
                  <c:v>43340</c:v>
                </c:pt>
                <c:pt idx="59">
                  <c:v>43341</c:v>
                </c:pt>
                <c:pt idx="60">
                  <c:v>43342</c:v>
                </c:pt>
                <c:pt idx="61">
                  <c:v>43343</c:v>
                </c:pt>
                <c:pt idx="62">
                  <c:v>43344</c:v>
                </c:pt>
                <c:pt idx="63">
                  <c:v>43345</c:v>
                </c:pt>
                <c:pt idx="64">
                  <c:v>43346</c:v>
                </c:pt>
              </c:numCache>
            </c:numRef>
          </c:xVal>
          <c:yVal>
            <c:numRef>
              <c:f>Sheet1!$V$2:$V$66</c:f>
              <c:numCache>
                <c:formatCode>General</c:formatCode>
                <c:ptCount val="65"/>
                <c:pt idx="0">
                  <c:v>88.85</c:v>
                </c:pt>
                <c:pt idx="1">
                  <c:v>88.35</c:v>
                </c:pt>
                <c:pt idx="2">
                  <c:v>88.4</c:v>
                </c:pt>
                <c:pt idx="3">
                  <c:v>88.35</c:v>
                </c:pt>
                <c:pt idx="4">
                  <c:v>88.25</c:v>
                </c:pt>
                <c:pt idx="5">
                  <c:v>87.85</c:v>
                </c:pt>
                <c:pt idx="6">
                  <c:v>87.1</c:v>
                </c:pt>
                <c:pt idx="7">
                  <c:v>89.15</c:v>
                </c:pt>
                <c:pt idx="8">
                  <c:v>90.05</c:v>
                </c:pt>
                <c:pt idx="9">
                  <c:v>88.55</c:v>
                </c:pt>
                <c:pt idx="10">
                  <c:v>87.95</c:v>
                </c:pt>
                <c:pt idx="11">
                  <c:v>88.15</c:v>
                </c:pt>
                <c:pt idx="12">
                  <c:v>87.2</c:v>
                </c:pt>
                <c:pt idx="13">
                  <c:v>88.2</c:v>
                </c:pt>
                <c:pt idx="14">
                  <c:v>87</c:v>
                </c:pt>
                <c:pt idx="15">
                  <c:v>88.1</c:v>
                </c:pt>
                <c:pt idx="16">
                  <c:v>89.2</c:v>
                </c:pt>
                <c:pt idx="17">
                  <c:v>89.25</c:v>
                </c:pt>
                <c:pt idx="18">
                  <c:v>90.4</c:v>
                </c:pt>
                <c:pt idx="19">
                  <c:v>89.4</c:v>
                </c:pt>
                <c:pt idx="20">
                  <c:v>89.95</c:v>
                </c:pt>
                <c:pt idx="21">
                  <c:v>89.45</c:v>
                </c:pt>
                <c:pt idx="22">
                  <c:v>89.05</c:v>
                </c:pt>
                <c:pt idx="23">
                  <c:v>89.1</c:v>
                </c:pt>
                <c:pt idx="24">
                  <c:v>88</c:v>
                </c:pt>
                <c:pt idx="25">
                  <c:v>89.5</c:v>
                </c:pt>
                <c:pt idx="26">
                  <c:v>89.55</c:v>
                </c:pt>
                <c:pt idx="27">
                  <c:v>89.95</c:v>
                </c:pt>
                <c:pt idx="28">
                  <c:v>89.25</c:v>
                </c:pt>
                <c:pt idx="29">
                  <c:v>89.55</c:v>
                </c:pt>
                <c:pt idx="30">
                  <c:v>88.15</c:v>
                </c:pt>
                <c:pt idx="31">
                  <c:v>88.55</c:v>
                </c:pt>
                <c:pt idx="32">
                  <c:v>88.65</c:v>
                </c:pt>
                <c:pt idx="33">
                  <c:v>89.55</c:v>
                </c:pt>
                <c:pt idx="34">
                  <c:v>90.3</c:v>
                </c:pt>
                <c:pt idx="35">
                  <c:v>91.15</c:v>
                </c:pt>
                <c:pt idx="36">
                  <c:v>89.4</c:v>
                </c:pt>
                <c:pt idx="37">
                  <c:v>88.95</c:v>
                </c:pt>
                <c:pt idx="38">
                  <c:v>88.75</c:v>
                </c:pt>
                <c:pt idx="39">
                  <c:v>89</c:v>
                </c:pt>
                <c:pt idx="40">
                  <c:v>89.25</c:v>
                </c:pt>
                <c:pt idx="41">
                  <c:v>89.2</c:v>
                </c:pt>
                <c:pt idx="42">
                  <c:v>87.9</c:v>
                </c:pt>
                <c:pt idx="43">
                  <c:v>88.1</c:v>
                </c:pt>
                <c:pt idx="44">
                  <c:v>88.3</c:v>
                </c:pt>
                <c:pt idx="45">
                  <c:v>88</c:v>
                </c:pt>
                <c:pt idx="46">
                  <c:v>88.8</c:v>
                </c:pt>
                <c:pt idx="47">
                  <c:v>89.05</c:v>
                </c:pt>
                <c:pt idx="48">
                  <c:v>90.15</c:v>
                </c:pt>
                <c:pt idx="49">
                  <c:v>90.3</c:v>
                </c:pt>
                <c:pt idx="50">
                  <c:v>89.3</c:v>
                </c:pt>
                <c:pt idx="51">
                  <c:v>89.1</c:v>
                </c:pt>
                <c:pt idx="52">
                  <c:v>89.4</c:v>
                </c:pt>
                <c:pt idx="53">
                  <c:v>88.4</c:v>
                </c:pt>
                <c:pt idx="54">
                  <c:v>87.85</c:v>
                </c:pt>
                <c:pt idx="55">
                  <c:v>86.5</c:v>
                </c:pt>
                <c:pt idx="56">
                  <c:v>88.45</c:v>
                </c:pt>
                <c:pt idx="57">
                  <c:v>87.6</c:v>
                </c:pt>
                <c:pt idx="58">
                  <c:v>87.15</c:v>
                </c:pt>
                <c:pt idx="59">
                  <c:v>88.3</c:v>
                </c:pt>
                <c:pt idx="60">
                  <c:v>85.8</c:v>
                </c:pt>
                <c:pt idx="61">
                  <c:v>85.9</c:v>
                </c:pt>
                <c:pt idx="62">
                  <c:v>85.25</c:v>
                </c:pt>
                <c:pt idx="63">
                  <c:v>85.25</c:v>
                </c:pt>
                <c:pt idx="64">
                  <c:v>85.9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0128"/>
        <c:axId val="6322048"/>
      </c:scatterChart>
      <c:valAx>
        <c:axId val="6320128"/>
        <c:scaling>
          <c:orientation val="minMax"/>
          <c:max val="43350"/>
          <c:min val="43282"/>
        </c:scaling>
        <c:delete val="0"/>
        <c:axPos val="b"/>
        <c:title>
          <c:tx>
            <c:rich>
              <a:bodyPr/>
              <a:lstStyle/>
              <a:p>
                <a:pPr>
                  <a:defRPr sz="1050"/>
                </a:pPr>
                <a:r>
                  <a:rPr lang="en-US" sz="1050"/>
                  <a:t>Date</a:t>
                </a:r>
              </a:p>
            </c:rich>
          </c:tx>
          <c:layout>
            <c:manualLayout>
              <c:xMode val="edge"/>
              <c:yMode val="edge"/>
              <c:x val="0.46102691497462905"/>
              <c:y val="0.9299077631199969"/>
            </c:manualLayout>
          </c:layout>
          <c:overlay val="0"/>
        </c:title>
        <c:numFmt formatCode="d\-mmm" sourceLinked="1"/>
        <c:majorTickMark val="out"/>
        <c:minorTickMark val="none"/>
        <c:tickLblPos val="nextTo"/>
        <c:crossAx val="6322048"/>
        <c:crosses val="autoZero"/>
        <c:crossBetween val="midCat"/>
      </c:valAx>
      <c:valAx>
        <c:axId val="6322048"/>
        <c:scaling>
          <c:orientation val="minMax"/>
          <c:max val="95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50"/>
                  <a:t>Average</a:t>
                </a:r>
                <a:r>
                  <a:rPr lang="en-US" sz="1050" baseline="0"/>
                  <a:t> Daily Temperature, years 1996-2015 (degF)</a:t>
                </a:r>
                <a:endParaRPr lang="en-US" sz="105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320128"/>
        <c:crosses val="autoZero"/>
        <c:crossBetween val="midCat"/>
      </c:valAx>
    </c:plotArea>
    <c:legend>
      <c:legendPos val="t"/>
      <c:layout>
        <c:manualLayout>
          <c:xMode val="edge"/>
          <c:yMode val="edge"/>
          <c:x val="0.36607402133243983"/>
          <c:y val="0.48010973936899864"/>
          <c:w val="0.31040514882448206"/>
          <c:h val="4.961018761543695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Bryson</dc:creator>
  <cp:lastModifiedBy>Bryson</cp:lastModifiedBy>
  <cp:revision>13</cp:revision>
  <cp:lastPrinted>2018-01-31T01:16:00Z</cp:lastPrinted>
  <dcterms:created xsi:type="dcterms:W3CDTF">2018-01-29T00:43:00Z</dcterms:created>
  <dcterms:modified xsi:type="dcterms:W3CDTF">2018-01-31T01:17:00Z</dcterms:modified>
</cp:coreProperties>
</file>