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470A9">
      <w:pPr>
        <w:bidi w:val="0"/>
        <w:jc w:val="center"/>
        <w:rPr>
          <w:rFonts w:hint="eastAsia" w:ascii="黑体" w:eastAsia="黑体"/>
          <w:sz w:val="36"/>
          <w:szCs w:val="36"/>
        </w:rPr>
      </w:pPr>
      <w:r>
        <w:rPr>
          <w:rFonts w:hint="eastAsia" w:ascii="黑体" w:eastAsia="黑体"/>
          <w:sz w:val="36"/>
          <w:szCs w:val="36"/>
        </w:rPr>
        <w:t>湖南大学研究生毕业（学位）论文开题报告</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1495"/>
        <w:gridCol w:w="803"/>
        <w:gridCol w:w="1616"/>
        <w:gridCol w:w="1573"/>
        <w:gridCol w:w="2330"/>
      </w:tblGrid>
      <w:tr w14:paraId="5313E4C5">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3" w:hRule="atLeast"/>
        </w:trPr>
        <w:tc>
          <w:tcPr>
            <w:tcW w:w="1480" w:type="dxa"/>
            <w:noWrap w:val="0"/>
            <w:vAlign w:val="center"/>
          </w:tcPr>
          <w:p w14:paraId="61597717">
            <w:pPr>
              <w:bidi w:val="0"/>
              <w:spacing w:line="340" w:lineRule="exact"/>
              <w:jc w:val="center"/>
              <w:rPr>
                <w:rFonts w:hint="eastAsia" w:ascii="黑体" w:eastAsia="黑体"/>
                <w:sz w:val="28"/>
                <w:szCs w:val="28"/>
              </w:rPr>
            </w:pPr>
            <w:r>
              <w:rPr>
                <w:rFonts w:hint="eastAsia" w:ascii="黑体" w:eastAsia="黑体"/>
                <w:sz w:val="28"/>
                <w:szCs w:val="28"/>
              </w:rPr>
              <w:t>姓    名</w:t>
            </w:r>
          </w:p>
        </w:tc>
        <w:tc>
          <w:tcPr>
            <w:tcW w:w="1507" w:type="dxa"/>
            <w:noWrap w:val="0"/>
            <w:vAlign w:val="center"/>
          </w:tcPr>
          <w:p w14:paraId="33C11BE4">
            <w:pPr>
              <w:bidi w:val="0"/>
              <w:spacing w:line="340" w:lineRule="exact"/>
              <w:jc w:val="center"/>
              <w:rPr>
                <w:rFonts w:hint="eastAsia" w:ascii="黑体" w:eastAsia="黑体"/>
                <w:sz w:val="28"/>
                <w:szCs w:val="28"/>
              </w:rPr>
            </w:pPr>
            <w:r>
              <w:rPr>
                <w:rFonts w:hint="eastAsia" w:ascii="黑体" w:eastAsia="黑体"/>
                <w:sz w:val="28"/>
                <w:szCs w:val="28"/>
              </w:rPr>
              <w:t>叶子钰</w:t>
            </w:r>
          </w:p>
        </w:tc>
        <w:tc>
          <w:tcPr>
            <w:tcW w:w="807" w:type="dxa"/>
            <w:noWrap w:val="0"/>
            <w:vAlign w:val="center"/>
          </w:tcPr>
          <w:p w14:paraId="54201EBE">
            <w:pPr>
              <w:bidi w:val="0"/>
              <w:spacing w:line="340" w:lineRule="exact"/>
              <w:jc w:val="center"/>
              <w:rPr>
                <w:rFonts w:hint="eastAsia" w:ascii="黑体" w:eastAsia="黑体"/>
                <w:sz w:val="28"/>
                <w:szCs w:val="28"/>
              </w:rPr>
            </w:pPr>
            <w:r>
              <w:rPr>
                <w:rFonts w:hint="eastAsia" w:ascii="黑体" w:eastAsia="黑体"/>
                <w:sz w:val="28"/>
                <w:szCs w:val="28"/>
              </w:rPr>
              <w:t>学号</w:t>
            </w:r>
          </w:p>
        </w:tc>
        <w:tc>
          <w:tcPr>
            <w:tcW w:w="1559" w:type="dxa"/>
            <w:noWrap w:val="0"/>
            <w:vAlign w:val="center"/>
          </w:tcPr>
          <w:p w14:paraId="70DD6654">
            <w:pPr>
              <w:bidi w:val="0"/>
              <w:spacing w:line="340" w:lineRule="exact"/>
              <w:jc w:val="center"/>
              <w:rPr>
                <w:rFonts w:hint="eastAsia" w:ascii="黑体" w:eastAsia="黑体"/>
                <w:sz w:val="28"/>
                <w:szCs w:val="28"/>
              </w:rPr>
            </w:pPr>
            <w:r>
              <w:rPr>
                <w:rFonts w:hint="eastAsia" w:ascii="黑体" w:eastAsia="黑体"/>
                <w:sz w:val="28"/>
                <w:szCs w:val="28"/>
              </w:rPr>
              <w:t>S2410W1030</w:t>
            </w:r>
          </w:p>
        </w:tc>
        <w:tc>
          <w:tcPr>
            <w:tcW w:w="1585" w:type="dxa"/>
            <w:noWrap w:val="0"/>
            <w:vAlign w:val="center"/>
          </w:tcPr>
          <w:p w14:paraId="512471D4">
            <w:pPr>
              <w:bidi w:val="0"/>
              <w:spacing w:line="340" w:lineRule="exact"/>
              <w:jc w:val="center"/>
              <w:rPr>
                <w:rFonts w:hint="eastAsia" w:ascii="黑体" w:eastAsia="黑体"/>
                <w:sz w:val="28"/>
                <w:szCs w:val="28"/>
              </w:rPr>
            </w:pPr>
            <w:r>
              <w:rPr>
                <w:rFonts w:hint="eastAsia" w:ascii="黑体" w:eastAsia="黑体"/>
                <w:sz w:val="28"/>
                <w:szCs w:val="28"/>
              </w:rPr>
              <w:t>已修学分</w:t>
            </w:r>
          </w:p>
        </w:tc>
        <w:tc>
          <w:tcPr>
            <w:tcW w:w="2348" w:type="dxa"/>
            <w:noWrap w:val="0"/>
            <w:vAlign w:val="center"/>
          </w:tcPr>
          <w:p w14:paraId="3DE49444">
            <w:pPr>
              <w:bidi w:val="0"/>
              <w:spacing w:line="340" w:lineRule="exact"/>
              <w:jc w:val="center"/>
              <w:rPr>
                <w:rFonts w:hint="eastAsia" w:ascii="黑体" w:eastAsia="黑体"/>
                <w:sz w:val="28"/>
                <w:szCs w:val="28"/>
              </w:rPr>
            </w:pPr>
            <w:r>
              <w:rPr>
                <w:rFonts w:hint="eastAsia" w:ascii="黑体" w:eastAsia="黑体"/>
                <w:sz w:val="28"/>
                <w:szCs w:val="28"/>
              </w:rPr>
              <w:t>25.0</w:t>
            </w:r>
          </w:p>
        </w:tc>
      </w:tr>
      <w:tr w14:paraId="0CDCF18E">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3" w:hRule="atLeast"/>
        </w:trPr>
        <w:tc>
          <w:tcPr>
            <w:tcW w:w="1480" w:type="dxa"/>
            <w:noWrap w:val="0"/>
            <w:vAlign w:val="center"/>
          </w:tcPr>
          <w:p w14:paraId="68679AA4">
            <w:pPr>
              <w:bidi w:val="0"/>
              <w:spacing w:line="340" w:lineRule="exact"/>
              <w:jc w:val="center"/>
              <w:rPr>
                <w:rFonts w:hint="eastAsia" w:ascii="黑体" w:eastAsia="黑体"/>
                <w:sz w:val="28"/>
                <w:szCs w:val="28"/>
              </w:rPr>
            </w:pPr>
            <w:r>
              <w:rPr>
                <w:rFonts w:hint="eastAsia" w:ascii="黑体" w:eastAsia="黑体"/>
                <w:sz w:val="28"/>
                <w:szCs w:val="28"/>
              </w:rPr>
              <w:t>所属学院</w:t>
            </w:r>
          </w:p>
        </w:tc>
        <w:tc>
          <w:tcPr>
            <w:tcW w:w="3873" w:type="dxa"/>
            <w:gridSpan w:val="3"/>
            <w:noWrap w:val="0"/>
            <w:vAlign w:val="center"/>
          </w:tcPr>
          <w:p w14:paraId="21D9CAA2">
            <w:pPr>
              <w:bidi w:val="0"/>
              <w:spacing w:line="340" w:lineRule="exact"/>
              <w:jc w:val="center"/>
              <w:rPr>
                <w:rFonts w:hint="eastAsia" w:ascii="黑体" w:eastAsia="黑体"/>
                <w:sz w:val="28"/>
                <w:szCs w:val="28"/>
              </w:rPr>
            </w:pPr>
            <w:r>
              <w:rPr>
                <w:rFonts w:hint="eastAsia" w:ascii="黑体" w:eastAsia="黑体"/>
                <w:sz w:val="28"/>
                <w:szCs w:val="28"/>
              </w:rPr>
              <w:t>信息科学与工程学院（软件学院、国家保密学院）</w:t>
            </w:r>
          </w:p>
        </w:tc>
        <w:tc>
          <w:tcPr>
            <w:tcW w:w="1585" w:type="dxa"/>
            <w:noWrap w:val="0"/>
            <w:vAlign w:val="center"/>
          </w:tcPr>
          <w:p w14:paraId="7BE4A607">
            <w:pPr>
              <w:bidi w:val="0"/>
              <w:spacing w:line="340" w:lineRule="exact"/>
              <w:jc w:val="center"/>
              <w:rPr>
                <w:rFonts w:hint="eastAsia" w:ascii="黑体" w:eastAsia="黑体"/>
                <w:sz w:val="28"/>
                <w:szCs w:val="28"/>
              </w:rPr>
            </w:pPr>
            <w:r>
              <w:rPr>
                <w:rFonts w:hint="eastAsia" w:ascii="黑体" w:eastAsia="黑体"/>
                <w:sz w:val="28"/>
                <w:szCs w:val="28"/>
              </w:rPr>
              <w:t>学科专业</w:t>
            </w:r>
          </w:p>
        </w:tc>
        <w:tc>
          <w:tcPr>
            <w:tcW w:w="2348" w:type="dxa"/>
            <w:noWrap w:val="0"/>
            <w:vAlign w:val="center"/>
          </w:tcPr>
          <w:p w14:paraId="7D9FDDE7">
            <w:pPr>
              <w:bidi w:val="0"/>
              <w:spacing w:line="340" w:lineRule="exact"/>
              <w:jc w:val="center"/>
              <w:rPr>
                <w:rFonts w:hint="eastAsia" w:ascii="黑体" w:eastAsia="黑体"/>
                <w:sz w:val="28"/>
                <w:szCs w:val="28"/>
              </w:rPr>
            </w:pPr>
            <w:r>
              <w:rPr>
                <w:rFonts w:hint="eastAsia" w:ascii="黑体" w:eastAsia="黑体"/>
                <w:sz w:val="28"/>
                <w:szCs w:val="28"/>
              </w:rPr>
              <w:t>电子信息</w:t>
            </w:r>
          </w:p>
        </w:tc>
      </w:tr>
      <w:tr w14:paraId="4B0CB5D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3" w:hRule="atLeast"/>
        </w:trPr>
        <w:tc>
          <w:tcPr>
            <w:tcW w:w="1480" w:type="dxa"/>
            <w:noWrap w:val="0"/>
            <w:vAlign w:val="center"/>
          </w:tcPr>
          <w:p w14:paraId="2523B7AB">
            <w:pPr>
              <w:bidi w:val="0"/>
              <w:spacing w:line="340" w:lineRule="exact"/>
              <w:jc w:val="center"/>
              <w:rPr>
                <w:rFonts w:hint="eastAsia" w:ascii="黑体" w:eastAsia="黑体"/>
                <w:sz w:val="28"/>
                <w:szCs w:val="28"/>
              </w:rPr>
            </w:pPr>
            <w:r>
              <w:rPr>
                <w:rFonts w:hint="eastAsia" w:ascii="黑体" w:eastAsia="黑体"/>
                <w:sz w:val="28"/>
                <w:szCs w:val="28"/>
              </w:rPr>
              <w:t>指导教师</w:t>
            </w:r>
          </w:p>
        </w:tc>
        <w:tc>
          <w:tcPr>
            <w:tcW w:w="7806" w:type="dxa"/>
            <w:gridSpan w:val="5"/>
            <w:noWrap w:val="0"/>
            <w:vAlign w:val="center"/>
          </w:tcPr>
          <w:p w14:paraId="142D99BC">
            <w:pPr>
              <w:bidi w:val="0"/>
              <w:spacing w:line="340" w:lineRule="exact"/>
              <w:jc w:val="center"/>
              <w:rPr>
                <w:rFonts w:hint="eastAsia" w:ascii="黑体" w:eastAsia="黑体"/>
                <w:sz w:val="28"/>
                <w:szCs w:val="28"/>
              </w:rPr>
            </w:pPr>
            <w:r>
              <w:rPr>
                <w:rFonts w:hint="eastAsia" w:ascii="黑体" w:eastAsia="黑体"/>
                <w:sz w:val="28"/>
                <w:szCs w:val="28"/>
              </w:rPr>
              <w:t xml:space="preserve">秦拯 </w:t>
            </w:r>
          </w:p>
        </w:tc>
      </w:tr>
      <w:tr w14:paraId="12D15841">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3" w:hRule="atLeast"/>
        </w:trPr>
        <w:tc>
          <w:tcPr>
            <w:tcW w:w="1480" w:type="dxa"/>
            <w:noWrap w:val="0"/>
            <w:vAlign w:val="center"/>
          </w:tcPr>
          <w:p w14:paraId="61921618">
            <w:pPr>
              <w:bidi w:val="0"/>
              <w:spacing w:line="340" w:lineRule="exact"/>
              <w:jc w:val="center"/>
              <w:rPr>
                <w:rFonts w:hint="eastAsia" w:ascii="黑体" w:eastAsia="黑体"/>
                <w:sz w:val="28"/>
                <w:szCs w:val="28"/>
              </w:rPr>
            </w:pPr>
            <w:r>
              <w:rPr>
                <w:rFonts w:hint="eastAsia" w:ascii="黑体" w:eastAsia="黑体"/>
                <w:sz w:val="28"/>
                <w:szCs w:val="28"/>
              </w:rPr>
              <w:t>研究方向</w:t>
            </w:r>
          </w:p>
        </w:tc>
        <w:tc>
          <w:tcPr>
            <w:tcW w:w="7806" w:type="dxa"/>
            <w:gridSpan w:val="5"/>
            <w:noWrap w:val="0"/>
            <w:vAlign w:val="center"/>
          </w:tcPr>
          <w:p w14:paraId="4FFEC588">
            <w:pPr>
              <w:bidi w:val="0"/>
              <w:spacing w:line="340" w:lineRule="exact"/>
              <w:jc w:val="center"/>
              <w:rPr>
                <w:rFonts w:hint="eastAsia" w:ascii="黑体" w:eastAsia="黑体"/>
                <w:sz w:val="28"/>
                <w:szCs w:val="28"/>
              </w:rPr>
            </w:pPr>
            <w:r>
              <w:rPr>
                <w:rFonts w:hint="eastAsia" w:ascii="黑体" w:eastAsia="黑体"/>
                <w:sz w:val="28"/>
                <w:szCs w:val="28"/>
              </w:rPr>
              <w:t>多媒体信息检索</w:t>
            </w:r>
          </w:p>
        </w:tc>
      </w:tr>
      <w:tr w14:paraId="2B12F54A">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9" w:hRule="atLeast"/>
        </w:trPr>
        <w:tc>
          <w:tcPr>
            <w:tcW w:w="1480" w:type="dxa"/>
            <w:noWrap w:val="0"/>
            <w:vAlign w:val="center"/>
          </w:tcPr>
          <w:p w14:paraId="428C3D2A">
            <w:pPr>
              <w:bidi w:val="0"/>
              <w:spacing w:line="340" w:lineRule="exact"/>
              <w:jc w:val="center"/>
              <w:rPr>
                <w:rFonts w:hint="eastAsia" w:ascii="黑体" w:eastAsia="黑体"/>
                <w:sz w:val="28"/>
                <w:szCs w:val="28"/>
              </w:rPr>
            </w:pPr>
            <w:r>
              <w:rPr>
                <w:rFonts w:hint="eastAsia" w:ascii="黑体" w:eastAsia="黑体"/>
                <w:sz w:val="28"/>
                <w:szCs w:val="28"/>
              </w:rPr>
              <w:t>论文题目</w:t>
            </w:r>
          </w:p>
        </w:tc>
        <w:tc>
          <w:tcPr>
            <w:tcW w:w="7806" w:type="dxa"/>
            <w:gridSpan w:val="5"/>
            <w:noWrap w:val="0"/>
            <w:vAlign w:val="center"/>
          </w:tcPr>
          <w:p w14:paraId="65A63C52">
            <w:pPr>
              <w:bidi w:val="0"/>
              <w:spacing w:line="340" w:lineRule="exact"/>
              <w:jc w:val="center"/>
              <w:rPr>
                <w:rFonts w:hint="default" w:ascii="黑体" w:eastAsia="黑体"/>
                <w:sz w:val="28"/>
                <w:szCs w:val="28"/>
                <w:lang w:val="en-US" w:eastAsia="zh-CN"/>
              </w:rPr>
            </w:pPr>
            <w:r>
              <w:rPr>
                <w:rFonts w:hint="eastAsia" w:ascii="黑体" w:eastAsia="黑体"/>
                <w:sz w:val="28"/>
                <w:szCs w:val="28"/>
                <w:lang w:val="en-US" w:eastAsia="zh-CN"/>
              </w:rPr>
              <w:t>多尺度滑动窗口与专家网络融合的跨模态行人重识别方法研究</w:t>
            </w:r>
          </w:p>
        </w:tc>
      </w:tr>
    </w:tbl>
    <w:p w14:paraId="6F5B791E">
      <w:pPr>
        <w:bidi w:val="0"/>
      </w:pPr>
      <w:r>
        <w:rPr>
          <w:rFonts w:hint="eastAsia" w:ascii="黑体" w:eastAsia="黑体"/>
          <w:sz w:val="28"/>
          <w:szCs w:val="28"/>
        </w:rPr>
        <w:t>一、选题背景及意义</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2AD7602">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8908" w:hRule="atLeast"/>
        </w:trPr>
        <w:tc>
          <w:tcPr>
            <w:tcW w:w="9286" w:type="dxa"/>
            <w:noWrap w:val="0"/>
            <w:vAlign w:val="top"/>
          </w:tcPr>
          <w:p w14:paraId="221F1162">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1.1.1 研究背景</w:t>
            </w:r>
          </w:p>
          <w:p w14:paraId="4BEF8C6E">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随着城市基础设施的逐步完善和公共安全需求的日益增长，大量监控摄像头被广泛部署于公共场所。这些设备采集的海量视频及图像数据已成为公共安全管理与犯罪侦破的重要依据，在目标行人识别跟踪、嫌疑人行为调查取证等方面发挥着关键作用。然而，在实际应用场景中，由于口罩、帽子等遮挡物的存在，摄像头往往无法获取清晰的人脸图像，导致基于人脸识别的传统方法失效。因此，迫切需要利用行人全身整体信息、局部细节特征以及姿态、步态等辅助信息来实现行人的准确识别、定位与查找。</w:t>
            </w:r>
          </w:p>
          <w:p w14:paraId="7B4B2430">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基于多模态的行人重识别（Person Re-identification，ReID）作为计算机视觉与多模态学习交叉领域的关键技术，在智能安防、跨摄像头追踪等实际场景中具有重要应用价值。该技术能够融合RGB、近红外、热红外等多种成像模态，实现不同场景下跨摄像头的行人图像检索，有效辅助安防人员快速锁定目标、构建人物行动轨迹，显著提升智能监控视频分析与检索的效率与精准度。作为人脸识别技术的重要补充，多模态行人重识别技术可对无法获取清晰人脸图像的行人进行跨摄像头连续跟踪，增强数据的时空连续性，弥补传统人脸识别方法的不足。</w:t>
            </w:r>
          </w:p>
          <w:p w14:paraId="383D4AC0">
            <w:pPr>
              <w:bidi w:val="0"/>
              <w:spacing w:line="340" w:lineRule="exact"/>
              <w:ind w:right="560" w:firstLine="560" w:firstLineChars="200"/>
              <w:rPr>
                <w:rFonts w:hint="eastAsia" w:ascii="宋体" w:hAnsi="宋体" w:eastAsia="宋体" w:cs="宋体"/>
                <w:b w:val="0"/>
                <w:bCs w:val="0"/>
                <w:sz w:val="28"/>
                <w:szCs w:val="28"/>
              </w:rPr>
            </w:pPr>
          </w:p>
          <w:p w14:paraId="78CEE6C2">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1.1.2 研究意义</w:t>
            </w:r>
          </w:p>
          <w:p w14:paraId="3C905B76">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（一）理论意义</w:t>
            </w:r>
          </w:p>
          <w:p w14:paraId="3B2D0AD7">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现有大多数研究聚焦于多模态特征在公共表征空间中的语义对齐，然而这些方法在公共基准数据集上的训练过程基于一个强假设：不同模态的特征信息完整且数据集分布均匀，即模型能够提取各模态的有效特征表示且不存在偏差。这一假设在实际场景中显然难以成立。此外，当前多数基于特征融合的方法缺乏可扩展性，难以充分利用多尺度特征信息并有效处理不同模态间的显著差异，导致行人重识别性能受限。</w:t>
            </w:r>
          </w:p>
          <w:p w14:paraId="5082167E">
            <w:pPr>
              <w:bidi w:val="0"/>
              <w:spacing w:line="340" w:lineRule="exact"/>
              <w:ind w:right="560"/>
              <w:rPr>
                <w:rFonts w:hint="eastAsia" w:ascii="宋体" w:hAnsi="宋体" w:eastAsia="宋体" w:cs="宋体"/>
                <w:b w:val="0"/>
                <w:bCs w:val="0"/>
                <w:sz w:val="28"/>
                <w:szCs w:val="28"/>
              </w:rPr>
            </w:pPr>
            <w:r>
              <w:rPr>
                <w:rFonts w:hint="eastAsia" w:ascii="宋体" w:hAnsi="宋体" w:eastAsia="宋体" w:cs="宋体"/>
                <w:b w:val="0"/>
                <w:bCs w:val="0"/>
                <w:sz w:val="28"/>
                <w:szCs w:val="28"/>
              </w:rPr>
              <w:t>现有方法的局限性主要体现在两个方面：</w:t>
            </w:r>
          </w:p>
          <w:p w14:paraId="417FF685">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（1）固定尺度特征提取的不足：大量跨模态行人重识别方法依赖单一尺度的特征提取，无法捕获不同层次的语义信息。当行人图像包含丰富的多尺度信息时，固定尺度的表征必然会丢失部分关键特征。</w:t>
            </w:r>
          </w:p>
          <w:p w14:paraId="633D2EB4">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2）特征融合策略的局限性：简单的特征拼接难以充分利用多模态间的互补信息，而复杂的注意力机制虽然有效但计算开销大，难以满足实时应用需求。因此，如何在建模过程中有效处理多尺度特征信息，确保模型准确捕获潜在语义并在多元场景中表现良好，仍有重要改进空间，但这一问题尚未得到充分关注。</w:t>
            </w:r>
          </w:p>
          <w:p w14:paraId="1ED8D5ED">
            <w:pPr>
              <w:bidi w:val="0"/>
              <w:spacing w:line="340" w:lineRule="exact"/>
              <w:ind w:right="560"/>
              <w:rPr>
                <w:rFonts w:hint="eastAsia" w:ascii="宋体" w:hAnsi="宋体" w:eastAsia="宋体" w:cs="宋体"/>
                <w:b/>
                <w:bCs/>
                <w:sz w:val="28"/>
                <w:szCs w:val="28"/>
              </w:rPr>
            </w:pPr>
            <w:r>
              <w:rPr>
                <w:rFonts w:hint="eastAsia" w:ascii="宋体" w:hAnsi="宋体" w:eastAsia="宋体" w:cs="宋体"/>
                <w:b/>
                <w:bCs/>
                <w:sz w:val="28"/>
                <w:szCs w:val="28"/>
              </w:rPr>
              <w:t>（二）实用价值</w:t>
            </w:r>
          </w:p>
          <w:p w14:paraId="20A03C17">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行人重识别技术虽然在字面上与行人检测技术相似，但两者本质不同：行人检测仅需判定图像中是否存在行人，而Re-ID则需识别出不同摄像机拍摄到的特定行人的所有可能图像。具体而言，给定一张查询图像（Query image），Re-ID系统需从庞大的图像库（Gallery images）中检索出属于同一行人的一张或多张图像，这是基于行人整体特征实现的图像检索技术。</w:t>
            </w:r>
          </w:p>
          <w:p w14:paraId="4D2561A4">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现阶段，由于公共安全的迫切需求以及高校校园、主题公园、街道等场所监控摄像头数量的急剧增加，Re-ID技术在智能视频监控系统设计中变得不可或缺。然而，研究导向的场景与实际应用之间仍存在显著差距。当前Re-ID任务面临的主要挑战包括：</w:t>
            </w:r>
          </w:p>
          <w:p w14:paraId="2E6C86C8">
            <w:pPr>
              <w:numPr>
                <w:ilvl w:val="0"/>
                <w:numId w:val="1"/>
              </w:num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 xml:space="preserve">数据集不足： 用于研究的公开数据集规模有限，与真实场景收集的数据存在较大差异； </w:t>
            </w:r>
          </w:p>
          <w:p w14:paraId="19400A32">
            <w:pPr>
              <w:numPr>
                <w:ilvl w:val="0"/>
                <w:numId w:val="1"/>
              </w:num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应用场景复杂： 真实Re-ID任务通常在室内外混合场景的摄像机网络中执行，需处理长时间拍摄的视频数据，面临大量身份、复杂光照变化和场景变化等挑战。</w:t>
            </w:r>
          </w:p>
          <w:p w14:paraId="0FF793AF">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lang w:val="en-US" w:eastAsia="zh-CN"/>
              </w:rPr>
              <w:t>随着</w:t>
            </w:r>
            <w:r>
              <w:rPr>
                <w:rFonts w:hint="eastAsia" w:ascii="宋体" w:hAnsi="宋体" w:eastAsia="宋体" w:cs="宋体"/>
                <w:b w:val="0"/>
                <w:bCs w:val="0"/>
                <w:sz w:val="28"/>
                <w:szCs w:val="28"/>
              </w:rPr>
              <w:t>多光谱研究的智慧安防优势</w:t>
            </w:r>
            <w:r>
              <w:rPr>
                <w:rFonts w:hint="eastAsia" w:ascii="宋体" w:hAnsi="宋体" w:eastAsia="宋体" w:cs="宋体"/>
                <w:b w:val="0"/>
                <w:bCs w:val="0"/>
                <w:sz w:val="28"/>
                <w:szCs w:val="28"/>
                <w:lang w:val="en-US" w:eastAsia="zh-CN"/>
              </w:rPr>
              <w:t>发展</w:t>
            </w:r>
            <w:r>
              <w:rPr>
                <w:rFonts w:hint="eastAsia" w:ascii="宋体" w:hAnsi="宋体" w:eastAsia="宋体" w:cs="宋体"/>
                <w:b w:val="0"/>
                <w:bCs w:val="0"/>
                <w:sz w:val="28"/>
                <w:szCs w:val="28"/>
              </w:rPr>
              <w:t>与</w:t>
            </w:r>
            <w:r>
              <w:rPr>
                <w:rFonts w:hint="eastAsia" w:ascii="宋体" w:hAnsi="宋体" w:eastAsia="宋体" w:cs="宋体"/>
                <w:b w:val="0"/>
                <w:bCs w:val="0"/>
                <w:sz w:val="28"/>
                <w:szCs w:val="28"/>
                <w:lang w:val="en-US" w:eastAsia="zh-CN"/>
              </w:rPr>
              <w:t>相关技术的</w:t>
            </w:r>
            <w:r>
              <w:rPr>
                <w:rFonts w:hint="eastAsia" w:ascii="宋体" w:hAnsi="宋体" w:eastAsia="宋体" w:cs="宋体"/>
                <w:b w:val="0"/>
                <w:bCs w:val="0"/>
                <w:sz w:val="28"/>
                <w:szCs w:val="28"/>
              </w:rPr>
              <w:t>突破</w:t>
            </w: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rPr>
              <w:t>尤其在智慧安防领域，实际监控系统往往包含可见光（RGB）、近红外（NIR）和热红外（TIR）等多光谱摄像头，以应对夜间、弱光、雾霾等极端环境。传统的可见光 Re-ID 模型在这些复杂场景下性能急剧下降，无法有效识别目标。因此，本研究通过在 红外（NIR</w:t>
            </w:r>
            <w:bookmarkStart w:id="0" w:name="_GoBack"/>
            <w:bookmarkEnd w:id="0"/>
            <w:r>
              <w:rPr>
                <w:rFonts w:hint="eastAsia" w:ascii="宋体" w:hAnsi="宋体" w:eastAsia="宋体" w:cs="宋体"/>
                <w:b w:val="0"/>
                <w:bCs w:val="0"/>
                <w:sz w:val="28"/>
                <w:szCs w:val="28"/>
              </w:rPr>
              <w:t>/TIR）数据集上提升性能，使 Re-ID 系统具备跨光谱感知能力，即使在零光照条件下或目标被遮挡的情况下，也能实现鲁棒、精准的行人身份检索。这种对全天候、全环境覆盖能力的提升，对于提升城市安防系统的智能化水平和应对突发事件具有重大的现实意义和应用价值。</w:t>
            </w:r>
          </w:p>
          <w:p w14:paraId="73CEC4C1">
            <w:pPr>
              <w:bidi w:val="0"/>
              <w:spacing w:line="340" w:lineRule="exact"/>
              <w:ind w:right="560" w:firstLine="560" w:firstLineChars="200"/>
              <w:rPr>
                <w:rFonts w:hint="eastAsia" w:ascii="宋体" w:hAnsi="宋体" w:eastAsia="宋体" w:cs="宋体"/>
                <w:b w:val="0"/>
                <w:bCs w:val="0"/>
                <w:sz w:val="28"/>
                <w:szCs w:val="28"/>
              </w:rPr>
            </w:pPr>
            <w:r>
              <w:rPr>
                <w:rFonts w:hint="eastAsia" w:ascii="宋体" w:hAnsi="宋体" w:eastAsia="宋体" w:cs="宋体"/>
                <w:b w:val="0"/>
                <w:bCs w:val="0"/>
                <w:sz w:val="28"/>
                <w:szCs w:val="28"/>
              </w:rPr>
              <w:t>因此，提升 Re-ID 技术在实际复杂场景中的鲁棒性与准确性具有重要的实用价值。</w:t>
            </w:r>
          </w:p>
        </w:tc>
      </w:tr>
    </w:tbl>
    <w:p w14:paraId="4396877F">
      <w:pPr>
        <w:bidi w:val="0"/>
        <w:rPr>
          <w:rFonts w:hint="eastAsia" w:ascii="黑体" w:eastAsia="黑体"/>
          <w:sz w:val="28"/>
          <w:szCs w:val="28"/>
        </w:rPr>
      </w:pPr>
    </w:p>
    <w:p w14:paraId="0966CFE4">
      <w:pPr>
        <w:bidi w:val="0"/>
        <w:rPr>
          <w:rFonts w:hint="eastAsia" w:ascii="黑体" w:eastAsia="黑体"/>
          <w:sz w:val="28"/>
          <w:szCs w:val="28"/>
        </w:rPr>
      </w:pPr>
    </w:p>
    <w:p w14:paraId="697FE1A9">
      <w:pPr>
        <w:bidi w:val="0"/>
        <w:rPr>
          <w:sz w:val="28"/>
          <w:szCs w:val="28"/>
        </w:rPr>
      </w:pPr>
      <w:r>
        <w:rPr>
          <w:rFonts w:hint="eastAsia" w:ascii="黑体" w:eastAsia="黑体"/>
          <w:sz w:val="28"/>
          <w:szCs w:val="28"/>
        </w:rPr>
        <w:t>二、文献综述</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03E6BC1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90" w:hRule="atLeast"/>
        </w:trPr>
        <w:tc>
          <w:tcPr>
            <w:tcW w:w="9286" w:type="dxa"/>
            <w:noWrap w:val="0"/>
            <w:vAlign w:val="top"/>
          </w:tcPr>
          <w:p w14:paraId="0B5A80F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行人重识别（Person Re-Identification，ReID）作为智能视频监控、公共安全与智能交通等领域的核心技术，近年来得到了广泛关注与快速发展。随着深度学习的兴起，基于卷积神经网络（CNN）、注意力机制和Transformer结构的模型在单模态ReID任务中取得了显著突破。然而，受限于现实监控场景光照条件复杂、目标遮挡严重、成像设备差异显著等因素，单纯依赖RGB模态进行识别的传统方法难以满足跨场景、跨设备的高鲁棒性需求。基于此，多模态行人重识别应运而生，通过融合RGB、红外(IR)、热红外(TIR)等不同模态的图像特征，从而实现对行人更全面、稳定的跨摄像头身份检索。</w:t>
            </w:r>
          </w:p>
          <w:p w14:paraId="0E5C666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传统单模态ReID研究中，早期方法主要聚焦于手工特征，如颜色直方图、纹理（LBP、HOG）和局部特征描述子。然而手工特征表达能力有限，难以适应大规模场景变化。深度学习方法兴起后，许多研究通过深层卷积网络提取全局特征、局部部位特征以及姿态对齐特征，使得ReID在标准数据集上取得了显著性能提升。但这些方法通常假设成像模态一致，因此难以适用于跨模态场景。为解决RGB与IR等不同模态之间的巨大差异，相关研究逐步转向模态差异建模、跨模态特征对齐、模态无关特征学习等方向。例如，有研究通过共享编码器结构构建公共特征空间，实现跨模态特征投影；也有方法引入模态特定编码器或风格迁移网络，通过GAN等技术缩小模态差距；部分研究则使用对比学习统一模态间特征距离度量。然而，由于模态之间固有光谱差异巨大，这些方法在实际场景中常表现出特征退化或对齐不足的问题。</w:t>
            </w:r>
          </w:p>
          <w:p w14:paraId="68C3662F">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另一方面，多尺度特征学习逐渐成为行人重识别研究的重要趋势。行人图像天然包含从整体轮廓到局部衣着纹理的多层级信息，单一尺度的特征表达容易造成信息损失。近期研究尝试利用特征金字塔、局部区域划分、多尺度卷积、可变形卷积等技术，构建更加丰富的视觉表征。然而，对于跨模态ReID任务，多尺度特征学习尚未得到充分挖掘：多数研究仍依赖固定尺度的RGB-IR特征对齐机制，难以适应不同模态间信息不均衡、干扰因素不同等问题。此外，部分强特征融合策略在提升准确率的同时带来较大的计算开销，不利于实际监控场景的实时性要求。</w:t>
            </w:r>
          </w:p>
          <w:p w14:paraId="732167E1">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总体来看，多模态行人重识别的研究仍面临三类核心挑战：</w:t>
            </w:r>
          </w:p>
          <w:p w14:paraId="5DFBC1EC">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跨模态间存在固有光谱差异，使得特征在公共空间中难以充分对齐；</w:t>
            </w:r>
          </w:p>
          <w:p w14:paraId="7C7AB161">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多尺度特征尚未得到系统性建模，尤其是在不同模态信息分布不均衡的条件下难以实现有效融合；</w:t>
            </w:r>
          </w:p>
          <w:p w14:paraId="13CA90ED">
            <w:pPr>
              <w:numPr>
                <w:ilvl w:val="0"/>
                <w:numId w:val="2"/>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现有模型在实际复杂环境中的泛化能力不足，难以适应光照变化、视角差异、遮挡等问题。尽管近年已有多项工作尝试从模态无关特征学习、注意力机制增强、对比学习优化等方面进行改进，但多数研究仍停留在实验室构建的公开数据集上，与真实监控场景存在较大差异。</w:t>
            </w:r>
          </w:p>
          <w:p w14:paraId="6BDAAB2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综上所述，多模态行人重识别研究在跨模态对齐、多尺度特征建模及实际复杂场景的鲁棒性方面仍有较大提升空间。现有文献为本研究奠定了基础，但也同时揭示了重要的研究空白：如何同时解决多模态差异、尺度信息不均衡与模型泛化性不足的问题，是当前该领域的关键研究趋势。本课题在继承已有研究成果的基础上，将结合多尺度特征学习、跨模态表示对齐与深度神经网络优化策略，探索新的模型结构以提升多模态行人重识别的性能和实际应用价值。</w:t>
            </w:r>
          </w:p>
        </w:tc>
      </w:tr>
    </w:tbl>
    <w:p w14:paraId="23E9ADE5">
      <w:pPr>
        <w:bidi w:val="0"/>
        <w:rPr>
          <w:rFonts w:hint="eastAsia" w:ascii="黑体" w:eastAsia="黑体"/>
          <w:sz w:val="28"/>
          <w:szCs w:val="28"/>
        </w:rPr>
      </w:pPr>
    </w:p>
    <w:p w14:paraId="0EA55F7A">
      <w:pPr>
        <w:bidi w:val="0"/>
        <w:rPr>
          <w:rFonts w:hint="eastAsia"/>
          <w:kern w:val="2"/>
          <w:sz w:val="28"/>
          <w:szCs w:val="28"/>
          <w:lang w:val="en-US" w:eastAsia="zh-CN" w:bidi="ar-SA"/>
        </w:rPr>
      </w:pPr>
      <w:r>
        <w:rPr>
          <w:rFonts w:hint="eastAsia" w:ascii="黑体" w:eastAsia="黑体"/>
          <w:sz w:val="28"/>
          <w:szCs w:val="28"/>
        </w:rPr>
        <w:t>三、研究的主要内容</w:t>
      </w:r>
      <w:r>
        <w:rPr>
          <w:rFonts w:hint="eastAsia"/>
          <w:kern w:val="2"/>
          <w:sz w:val="28"/>
          <w:szCs w:val="28"/>
          <w:lang w:val="en-US" w:eastAsia="zh-CN" w:bidi="ar-SA"/>
        </w:rPr>
        <w:tab/>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8AA9716">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90" w:hRule="atLeast"/>
        </w:trPr>
        <w:tc>
          <w:tcPr>
            <w:tcW w:w="9286" w:type="dxa"/>
            <w:noWrap w:val="0"/>
            <w:vAlign w:val="top"/>
          </w:tcPr>
          <w:p w14:paraId="42EC7E4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围绕“基于多尺度滑动窗口与专家网络融合的跨模态行人重识别方法”展开，旨在解决现有方法在多模态数据分布不均、尺度语义表达不足以及融合机制可扩展性差等问题。核心研究内容主要包括以下三个方面：</w:t>
            </w:r>
          </w:p>
          <w:p w14:paraId="518A2454">
            <w:pPr>
              <w:bidi w:val="0"/>
              <w:spacing w:line="340" w:lineRule="exact"/>
              <w:rPr>
                <w:rFonts w:hint="eastAsia" w:ascii="宋体" w:hAnsi="宋体" w:eastAsia="宋体" w:cs="宋体"/>
                <w:b/>
                <w:bCs/>
                <w:sz w:val="28"/>
                <w:szCs w:val="28"/>
                <w:vertAlign w:val="subscript"/>
              </w:rPr>
            </w:pPr>
            <w:r>
              <w:rPr>
                <w:rFonts w:hint="eastAsia" w:ascii="宋体" w:hAnsi="宋体" w:eastAsia="宋体" w:cs="宋体"/>
                <w:b/>
                <w:bCs/>
                <w:sz w:val="28"/>
                <w:szCs w:val="28"/>
              </w:rPr>
              <w:t>（一）多尺度滑动窗口的跨模态特征提取方法研究</w:t>
            </w:r>
          </w:p>
          <w:p w14:paraId="3B001CC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跨模态行人图像（RGB、近红外 NIR、热红外 TIR）在光照、纹理、对比度与成像机制上均存在显著差异，传统单尺度特征提取方法难以有效描述不同模态下的局部细节与全局结构，导致模态间特征空间存在偏移。</w:t>
            </w:r>
          </w:p>
          <w:p w14:paraId="6AD7216C">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针对这一问题，本研究拟构建基于滑动窗口的多尺度特征描述机制，通过 4×4、8×8、16×16 等不同尺度的窗口在 backbone 特征图上进行滑动划分，实现语义层级差异的自适应捕获。同时，研究将考察不同窗口尺度的敏感性、窗口步长策略、尺度间冗余抑制、局部区域的跨模态一致性等问题，为跨模态表征提供更具区分性的多尺度基础特征。</w:t>
            </w:r>
          </w:p>
          <w:p w14:paraId="1B936F1A">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设输入特征图为</w:t>
            </w:r>
          </w:p>
          <w:p w14:paraId="49723E36">
            <w:pPr>
              <w:keepNext w:val="0"/>
              <w:keepLines w:val="0"/>
              <w:pageBreakBefore w:val="0"/>
              <w:widowControl w:val="0"/>
              <w:kinsoku/>
              <w:wordWrap/>
              <w:overflowPunct/>
              <w:topLinePunct/>
              <w:autoSpaceDE/>
              <w:autoSpaceDN/>
              <w:bidi w:val="0"/>
              <w:adjustRightInd/>
              <w:snapToGrid/>
              <w:spacing w:line="340" w:lineRule="exact"/>
              <w:jc w:val="center"/>
              <w:textAlignment w:val="auto"/>
              <w:rPr>
                <w:rFonts w:hint="eastAsia" w:ascii="宋体" w:hAnsi="宋体" w:eastAsia="宋体" w:cs="宋体"/>
                <w:i w:val="0"/>
                <w:kern w:val="2"/>
                <w:sz w:val="28"/>
                <w:szCs w:val="28"/>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4353DAFF">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其中，</w:t>
            </w:r>
            <m:oMath>
              <m:r>
                <m:rPr/>
                <w:rPr>
                  <w:rFonts w:hint="default" w:ascii="Cambria Math" w:hAnsi="Cambria Math" w:cs="Cambria Math"/>
                  <w:kern w:val="2"/>
                  <w:sz w:val="24"/>
                  <w:szCs w:val="24"/>
                  <w:lang w:val="en-US" w:eastAsia="zh-CN" w:bidi="ar-SA"/>
                </w:rPr>
                <m:t>H,W,C</m:t>
              </m:r>
            </m:oMath>
            <w:r>
              <w:rPr>
                <w:rFonts w:hint="eastAsia" w:ascii="宋体" w:hAnsi="宋体" w:eastAsia="宋体" w:cs="宋体"/>
                <w:i w:val="0"/>
                <w:kern w:val="2"/>
                <w:sz w:val="28"/>
                <w:szCs w:val="28"/>
                <w:lang w:val="en-US" w:eastAsia="zh-CN" w:bidi="ar-SA"/>
              </w:rPr>
              <w:t>分别</w:t>
            </w:r>
            <w:r>
              <w:rPr>
                <w:rFonts w:hint="eastAsia" w:ascii="宋体" w:hAnsi="宋体" w:eastAsia="宋体" w:cs="宋体"/>
                <w:sz w:val="28"/>
                <w:szCs w:val="28"/>
              </w:rPr>
              <w:t>表示高度、宽度和通道数。</w:t>
            </w:r>
            <w:r>
              <w:rPr>
                <w:rFonts w:hint="eastAsia" w:ascii="宋体" w:hAnsi="宋体" w:eastAsia="宋体" w:cs="宋体"/>
                <w:sz w:val="28"/>
                <w:szCs w:val="28"/>
                <w:lang w:val="en-US" w:eastAsia="zh-CN"/>
              </w:rPr>
              <w:t>对尺度为</w:t>
            </w:r>
            <m:oMath>
              <m:r>
                <m:rPr/>
                <w:rPr>
                  <w:rFonts w:hint="default" w:ascii="Cambria Math" w:hAnsi="Cambria Math" w:cs="宋体"/>
                  <w:kern w:val="2"/>
                  <w:sz w:val="24"/>
                  <w:szCs w:val="24"/>
                  <w:lang w:val="en-US" w:eastAsia="zh-CN" w:bidi="ar-SA"/>
                </w:rPr>
                <m:t>s</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s</m:t>
              </m:r>
            </m:oMath>
            <w:r>
              <w:rPr>
                <w:rFonts w:hint="eastAsia" w:ascii="宋体" w:hAnsi="宋体" w:eastAsia="宋体" w:cs="宋体"/>
                <w:i w:val="0"/>
                <w:kern w:val="2"/>
                <w:sz w:val="28"/>
                <w:szCs w:val="28"/>
                <w:lang w:val="en-US" w:eastAsia="zh-CN" w:bidi="ar-SA"/>
              </w:rPr>
              <w:t>的滑动窗口，步长为</w:t>
            </w:r>
            <m:oMath>
              <m:r>
                <m:rPr/>
                <w:rPr>
                  <w:rFonts w:hint="default" w:ascii="Cambria Math" w:hAnsi="Cambria Math" w:cs="宋体"/>
                  <w:kern w:val="2"/>
                  <w:sz w:val="24"/>
                  <w:szCs w:val="24"/>
                  <w:lang w:val="en-US" w:eastAsia="zh-CN" w:bidi="ar-SA"/>
                </w:rPr>
                <m:t>stride</m:t>
              </m:r>
            </m:oMath>
            <w:r>
              <w:rPr>
                <w:rFonts w:hint="eastAsia" w:ascii="宋体" w:hAnsi="宋体" w:eastAsia="宋体" w:cs="宋体"/>
                <w:i w:val="0"/>
                <w:kern w:val="2"/>
                <w:sz w:val="28"/>
                <w:szCs w:val="28"/>
                <w:lang w:val="en-US" w:eastAsia="zh-CN" w:bidi="ar-SA"/>
              </w:rPr>
              <w:t>，划分为</w:t>
            </w:r>
            <w:r>
              <w:rPr>
                <w:rFonts w:hint="eastAsia" w:ascii="宋体" w:hAnsi="宋体" w:eastAsia="宋体" w:cs="宋体"/>
                <w:sz w:val="28"/>
                <w:szCs w:val="28"/>
              </w:rPr>
              <w:t>多个特征子区域</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第</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个尺度（</w:t>
            </w:r>
            <m:oMath>
              <m:r>
                <m:rPr/>
                <w:rPr>
                  <w:rFonts w:hint="default" w:ascii="Cambria Math" w:hAnsi="Cambria Math" w:cs="宋体"/>
                  <w:kern w:val="2"/>
                  <w:sz w:val="24"/>
                  <w:szCs w:val="24"/>
                  <w:lang w:val="en-US" w:eastAsia="zh-CN" w:bidi="ar-SA"/>
                </w:rPr>
                <m:t>k=1,2,...,K</m:t>
              </m:r>
            </m:oMath>
            <w:r>
              <w:rPr>
                <w:rFonts w:hint="eastAsia" w:ascii="宋体" w:hAnsi="宋体" w:eastAsia="宋体" w:cs="宋体"/>
                <w:i w:val="0"/>
                <w:kern w:val="2"/>
                <w:sz w:val="28"/>
                <w:szCs w:val="28"/>
                <w:lang w:val="en-US" w:eastAsia="zh-CN" w:bidi="ar-SA"/>
              </w:rPr>
              <w:t>）的特征子集为</w:t>
            </w:r>
          </w:p>
          <w:p w14:paraId="191423A3">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m:oMathPara>
              <m:oMath>
                <m:sSub>
                  <m:sSubPr>
                    <m:ctrlPr>
                      <w:rPr>
                        <w:rFonts w:hint="default"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=X[i:i+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,j:j+</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,:]|i=0,stride,2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27968ED8">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i w:val="0"/>
                <w:kern w:val="2"/>
                <w:sz w:val="28"/>
                <w:szCs w:val="28"/>
                <w:lang w:val="en-US" w:eastAsia="zh-CN" w:bidi="ar-SA"/>
              </w:rPr>
              <w:t>其中</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hint="default" w:ascii="Cambria Math" w:hAnsi="Cambria Math" w:cs="Cambria Math"/>
                      <w:kern w:val="2"/>
                      <w:sz w:val="24"/>
                      <w:szCs w:val="24"/>
                      <w:lang w:val="en-US" w:bidi="ar-SA"/>
                    </w:rPr>
                    <m:t>×</m:t>
                  </m:r>
                  <m:sSub>
                    <m:sSubPr>
                      <m:ctrlPr>
                        <w:rPr>
                          <w:rFonts w:hint="default"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w:r>
              <w:rPr>
                <w:rFonts w:hint="eastAsia" w:ascii="宋体" w:hAnsi="宋体" w:eastAsia="宋体" w:cs="宋体"/>
                <w:i w:val="0"/>
                <w:kern w:val="2"/>
                <w:sz w:val="28"/>
                <w:szCs w:val="28"/>
                <w:lang w:val="en-US" w:eastAsia="zh-CN" w:bidi="ar-SA"/>
              </w:rPr>
              <w:t>为第</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个尺度下位置</w:t>
            </w:r>
            <m:oMath>
              <m:r>
                <m:rPr/>
                <w:rPr>
                  <w:rFonts w:hint="default" w:ascii="Cambria Math" w:hAnsi="Cambria Math" w:cs="宋体"/>
                  <w:kern w:val="2"/>
                  <w:sz w:val="24"/>
                  <w:szCs w:val="24"/>
                  <w:lang w:val="en-US" w:eastAsia="zh-CN" w:bidi="ar-SA"/>
                </w:rPr>
                <m:t>(i,j)</m:t>
              </m:r>
            </m:oMath>
            <w:r>
              <w:rPr>
                <w:rFonts w:hint="eastAsia" w:ascii="宋体" w:hAnsi="宋体" w:eastAsia="宋体" w:cs="宋体"/>
                <w:i w:val="0"/>
                <w:kern w:val="2"/>
                <w:sz w:val="28"/>
                <w:szCs w:val="28"/>
                <w:lang w:val="en-US" w:eastAsia="zh-CN" w:bidi="ar-SA"/>
              </w:rPr>
              <w:t>的特征子集，</w:t>
            </w:r>
            <m:oMath>
              <m:r>
                <m:rPr/>
                <w:rPr>
                  <w:rFonts w:hint="default" w:ascii="Cambria Math" w:hAnsi="Cambria Math" w:cs="宋体"/>
                  <w:kern w:val="2"/>
                  <w:sz w:val="24"/>
                  <w:szCs w:val="24"/>
                  <w:lang w:val="en-US" w:eastAsia="zh-CN" w:bidi="ar-SA"/>
                </w:rPr>
                <m:t>K</m:t>
              </m:r>
            </m:oMath>
            <w:r>
              <w:rPr>
                <w:rFonts w:hint="eastAsia" w:ascii="宋体" w:hAnsi="宋体" w:eastAsia="宋体" w:cs="宋体"/>
                <w:i w:val="0"/>
                <w:kern w:val="2"/>
                <w:sz w:val="28"/>
                <w:szCs w:val="28"/>
                <w:lang w:val="en-US" w:eastAsia="zh-CN" w:bidi="ar-SA"/>
              </w:rPr>
              <w:t>为尺度总数，每组特征包含</w:t>
            </w:r>
            <m:oMath>
              <m:sSub>
                <m:sSubPr>
                  <m:ctrlPr>
                    <w:rPr>
                      <w:rFonts w:hint="default"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N</m:t>
                  </m:r>
                  <m:ctrlPr>
                    <w:rPr>
                      <w:rFonts w:hint="default"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bidi="ar-SA"/>
                    </w:rPr>
                  </m:ctrlPr>
                </m:sub>
              </m:sSub>
            </m:oMath>
            <w:r>
              <w:rPr>
                <w:rFonts w:hint="eastAsia" w:ascii="宋体" w:hAnsi="宋体" w:eastAsia="宋体" w:cs="宋体"/>
                <w:i w:val="0"/>
                <w:kern w:val="2"/>
                <w:sz w:val="28"/>
                <w:szCs w:val="28"/>
                <w:lang w:val="en-US" w:eastAsia="zh-CN" w:bidi="ar-SA"/>
              </w:rPr>
              <w:t>个特征块。</w:t>
            </w:r>
          </w:p>
          <w:p w14:paraId="4C3AB2FB">
            <w:pPr>
              <w:keepNext w:val="0"/>
              <w:keepLines w:val="0"/>
              <w:pageBreakBefore w:val="0"/>
              <w:widowControl w:val="0"/>
              <w:kinsoku/>
              <w:wordWrap/>
              <w:overflowPunct/>
              <w:topLinePunct/>
              <w:autoSpaceDE/>
              <w:autoSpaceDN/>
              <w:bidi w:val="0"/>
              <w:adjustRightInd/>
              <w:snapToGrid/>
              <w:spacing w:line="340" w:lineRule="exact"/>
              <w:textAlignment w:val="auto"/>
              <w:rPr>
                <w:rFonts w:hint="eastAsia" w:ascii="宋体" w:hAnsi="宋体" w:eastAsia="宋体" w:cs="宋体"/>
                <w:i w:val="0"/>
                <w:kern w:val="2"/>
                <w:sz w:val="28"/>
                <w:szCs w:val="28"/>
                <w:lang w:val="en-US" w:eastAsia="zh-CN" w:bidi="ar-SA"/>
              </w:rPr>
            </w:pPr>
          </w:p>
          <w:p w14:paraId="6562BADD">
            <w:pPr>
              <w:bidi w:val="0"/>
              <w:spacing w:line="340" w:lineRule="exact"/>
              <w:rPr>
                <w:rFonts w:hint="eastAsia" w:ascii="宋体" w:hAnsi="宋体" w:eastAsia="宋体" w:cs="宋体"/>
                <w:sz w:val="28"/>
                <w:szCs w:val="28"/>
              </w:rPr>
            </w:pPr>
            <w:r>
              <w:rPr>
                <w:rFonts w:hint="eastAsia" w:ascii="宋体" w:hAnsi="宋体" w:eastAsia="宋体" w:cs="宋体"/>
                <w:b/>
                <w:bCs/>
                <w:sz w:val="28"/>
                <w:szCs w:val="28"/>
              </w:rPr>
              <w:t>（二）基于 Mixture-of-Experts（MoE）的多尺度特征融合机制研究</w:t>
            </w:r>
          </w:p>
          <w:p w14:paraId="1019C01A">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传统跨模态 ReID 的特征融合往往依赖简单拼接或静态注意力，难以兼顾多模态差异性、复杂度与可扩展性。本研究拟引入 MoE 结构，将多尺度特征交由具有不同能力偏向的“专家网络”进行专门化处理，由轻量级门控网络根据输入特征的模态差异与尺度语义动态分配专家权重。该机制能够根据实际模态分布差异进行自适应选择，从而增强跨模态语义的一致性并修正可能存在的模态偏差。</w:t>
            </w:r>
          </w:p>
          <w:p w14:paraId="3F54F70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研究内容包括专家网络的结构设计、专家数量与能力划分策略、门控网络的权重学习机制、不同尺度语义与模态差异的融合行为分析等，以实现更准确、更稳健的跨模态特征融合。</w:t>
            </w:r>
          </w:p>
          <w:p w14:paraId="146EA4CE">
            <w:pPr>
              <w:keepNext w:val="0"/>
              <w:keepLines w:val="0"/>
              <w:pageBreakBefore w:val="0"/>
              <w:widowControl w:val="0"/>
              <w:kinsoku/>
              <w:wordWrap/>
              <w:overflowPunct/>
              <w:topLinePunct w:val="0"/>
              <w:autoSpaceDE/>
              <w:autoSpaceDN/>
              <w:bidi w:val="0"/>
              <w:adjustRightInd/>
              <w:snapToGrid/>
              <w:spacing w:line="340" w:lineRule="exact"/>
              <w:ind w:firstLine="560" w:firstLineChars="200"/>
              <w:jc w:val="left"/>
              <w:textAlignment w:val="auto"/>
              <w:rPr>
                <w:rFonts w:hint="eastAsia" w:ascii="宋体" w:hAnsi="宋体" w:eastAsia="宋体" w:cs="宋体"/>
                <w:i w:val="0"/>
                <w:kern w:val="2"/>
                <w:sz w:val="28"/>
                <w:szCs w:val="28"/>
                <w:lang w:val="en-US" w:eastAsia="zh-CN" w:bidi="ar-SA"/>
              </w:rPr>
            </w:pPr>
            <w:r>
              <w:rPr>
                <w:rFonts w:hint="eastAsia" w:ascii="宋体" w:hAnsi="宋体" w:eastAsia="宋体" w:cs="宋体"/>
                <w:sz w:val="28"/>
                <w:szCs w:val="28"/>
                <w:lang w:val="en-US" w:eastAsia="zh-CN"/>
              </w:rPr>
              <w:t>本实施例构建</w:t>
            </w:r>
            <m:oMath>
              <m:r>
                <m:rPr/>
                <w:rPr>
                  <w:rFonts w:hint="eastAsia" w:ascii="Cambria Math" w:hAnsi="Cambria Math" w:eastAsia="宋体" w:cs="宋体"/>
                  <w:kern w:val="2"/>
                  <w:sz w:val="28"/>
                  <w:szCs w:val="28"/>
                  <w:lang w:val="en-US" w:eastAsia="zh-CN" w:bidi="ar-SA"/>
                </w:rPr>
                <m:t>K=3</m:t>
              </m:r>
            </m:oMath>
            <w:r>
              <w:rPr>
                <w:rFonts w:hint="eastAsia" w:ascii="宋体" w:hAnsi="宋体" w:eastAsia="宋体" w:cs="宋体"/>
                <w:i w:val="0"/>
                <w:kern w:val="2"/>
                <w:sz w:val="28"/>
                <w:szCs w:val="28"/>
                <w:lang w:val="en-US" w:eastAsia="zh-CN" w:bidi="ar-SA"/>
              </w:rPr>
              <w:t>个专家网络</w:t>
            </w:r>
            <m:oMath>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1</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2</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sSub>
                <m:sSubPr>
                  <m:ctrlPr>
                    <w:rPr>
                      <w:rFonts w:hint="eastAsia" w:ascii="Cambria Math" w:hAnsi="Cambria Math" w:eastAsia="宋体" w:cs="宋体"/>
                      <w:i/>
                      <w:kern w:val="2"/>
                      <w:sz w:val="28"/>
                      <w:szCs w:val="28"/>
                      <w:lang w:val="en-US" w:eastAsia="zh-CN" w:bidi="ar-SA"/>
                    </w:rPr>
                  </m:ctrlPr>
                </m:sSubPr>
                <m:e>
                  <m:r>
                    <m:rPr/>
                    <w:rPr>
                      <w:rFonts w:hint="eastAsia" w:ascii="Cambria Math" w:hAnsi="Cambria Math" w:eastAsia="宋体" w:cs="宋体"/>
                      <w:kern w:val="2"/>
                      <w:sz w:val="28"/>
                      <w:szCs w:val="28"/>
                      <w:lang w:val="en-US" w:eastAsia="zh-CN" w:bidi="ar-SA"/>
                    </w:rPr>
                    <m:t>E</m:t>
                  </m:r>
                  <m:ctrlPr>
                    <w:rPr>
                      <w:rFonts w:hint="eastAsia" w:ascii="Cambria Math" w:hAnsi="Cambria Math" w:eastAsia="宋体" w:cs="宋体"/>
                      <w:i/>
                      <w:kern w:val="2"/>
                      <w:sz w:val="28"/>
                      <w:szCs w:val="28"/>
                      <w:lang w:val="en-US" w:eastAsia="zh-CN" w:bidi="ar-SA"/>
                    </w:rPr>
                  </m:ctrlPr>
                </m:e>
                <m:sub>
                  <m:r>
                    <m:rPr/>
                    <w:rPr>
                      <w:rFonts w:hint="eastAsia" w:ascii="Cambria Math" w:hAnsi="Cambria Math" w:eastAsia="宋体" w:cs="宋体"/>
                      <w:kern w:val="2"/>
                      <w:sz w:val="28"/>
                      <w:szCs w:val="28"/>
                      <w:lang w:val="en-US" w:eastAsia="zh-CN" w:bidi="ar-SA"/>
                    </w:rPr>
                    <m:t>3</m:t>
                  </m:r>
                  <m:ctrlPr>
                    <w:rPr>
                      <w:rFonts w:hint="eastAsia" w:ascii="Cambria Math" w:hAnsi="Cambria Math" w:eastAsia="宋体" w:cs="宋体"/>
                      <w:i/>
                      <w:kern w:val="2"/>
                      <w:sz w:val="28"/>
                      <w:szCs w:val="28"/>
                      <w:lang w:val="en-US" w:eastAsia="zh-CN" w:bidi="ar-SA"/>
                    </w:rPr>
                  </m:ctrlPr>
                </m:sub>
              </m:sSub>
              <m:r>
                <m:rPr/>
                <w:rPr>
                  <w:rFonts w:hint="eastAsia" w:ascii="Cambria Math" w:hAnsi="Cambria Math" w:eastAsia="宋体" w:cs="宋体"/>
                  <w:kern w:val="2"/>
                  <w:sz w:val="28"/>
                  <w:szCs w:val="28"/>
                  <w:lang w:val="en-US" w:eastAsia="zh-CN" w:bidi="ar-SA"/>
                </w:rPr>
                <m:t>}</m:t>
              </m:r>
            </m:oMath>
            <w:r>
              <w:rPr>
                <w:rFonts w:hint="eastAsia" w:ascii="宋体" w:hAnsi="宋体" w:eastAsia="宋体" w:cs="宋体"/>
                <w:i w:val="0"/>
                <w:kern w:val="2"/>
                <w:sz w:val="28"/>
                <w:szCs w:val="28"/>
                <w:lang w:val="en-US" w:eastAsia="zh-CN" w:bidi="ar-SA"/>
              </w:rPr>
              <w:t>，每个专家网络由3层全连接网络组成：</w:t>
            </w:r>
          </w:p>
          <w:p w14:paraId="7F0842A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Para>
              <m:oMath>
                <m:sSub>
                  <m:sSubPr>
                    <m:ctrlPr>
                      <w:rPr>
                        <w:rFonts w:hint="eastAsia" w:ascii="Cambria Math" w:hAnsi="Cambria Math" w:eastAsia="宋体" w:cs="宋体"/>
                        <w:i/>
                        <w:color w:val="000000"/>
                        <w:kern w:val="2"/>
                        <w:sz w:val="28"/>
                        <w:szCs w:val="28"/>
                        <w:lang w:val="en-US" w:eastAsia="zh-CN" w:bidi="ar-SA"/>
                      </w:rPr>
                    </m:ctrlPr>
                  </m:sSubPr>
                  <m:e>
                    <m:r>
                      <m:rPr/>
                      <w:rPr>
                        <w:rFonts w:hint="eastAsia" w:ascii="Cambria Math" w:hAnsi="Cambria Math" w:eastAsia="宋体" w:cs="宋体"/>
                        <w:color w:val="000000"/>
                        <w:kern w:val="2"/>
                        <w:sz w:val="28"/>
                        <w:szCs w:val="28"/>
                        <w:lang w:val="en-US" w:eastAsia="zh-CN" w:bidi="ar-SA"/>
                      </w:rPr>
                      <m:t>E</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Sub>
                <m:r>
                  <m:rPr/>
                  <w:rPr>
                    <w:rFonts w:hint="eastAsia" w:ascii="Cambria Math" w:hAnsi="Cambria Math" w:eastAsia="宋体" w:cs="宋体"/>
                    <w:color w:val="000000"/>
                    <w:kern w:val="2"/>
                    <w:sz w:val="28"/>
                    <w:szCs w:val="28"/>
                    <w:lang w:val="en-US" w:eastAsia="zh-CN" w:bidi="ar-SA"/>
                  </w:rPr>
                  <m:t>(f)=</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·ReLU</m:t>
                </m:r>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·ReLU</m:t>
                    </m:r>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(1)</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f+</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b</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eastAsia="zh-CN" w:bidi="ar-SA"/>
                              </w:rPr>
                            </m:ctrlPr>
                          </m:sup>
                        </m:sSubSup>
                        <m:ctrlPr>
                          <w:rPr>
                            <w:rFonts w:hint="eastAsia" w:ascii="Cambria Math" w:hAnsi="Cambria Math" w:eastAsia="宋体" w:cs="宋体"/>
                            <w:i/>
                            <w:color w:val="000000"/>
                            <w:kern w:val="2"/>
                            <w:sz w:val="28"/>
                            <w:szCs w:val="28"/>
                            <w:lang w:val="en-US" w:eastAsia="zh-CN" w:bidi="ar-SA"/>
                          </w:rPr>
                        </m:ctrlPr>
                      </m:e>
                    </m:d>
                    <m:ctrlPr>
                      <w:rPr>
                        <w:rFonts w:hint="eastAsia" w:ascii="Cambria Math" w:hAnsi="Cambria Math" w:eastAsia="宋体" w:cs="宋体"/>
                        <w:i/>
                        <w:color w:val="000000"/>
                        <w:kern w:val="2"/>
                        <w:sz w:val="28"/>
                        <w:szCs w:val="28"/>
                        <w:lang w:val="en-US" w:eastAsia="zh-CN" w:bidi="ar-SA"/>
                      </w:rPr>
                    </m:ctrlPr>
                  </m:e>
                </m:d>
                <m:r>
                  <m:rPr/>
                  <w:rPr>
                    <w:rFonts w:hint="eastAsia" w:ascii="Cambria Math" w:hAnsi="Cambria Math" w:eastAsia="宋体" w:cs="宋体"/>
                    <w:color w:val="000000"/>
                    <w:kern w:val="2"/>
                    <w:sz w:val="28"/>
                    <w:szCs w:val="28"/>
                    <w:lang w:val="en-US" w:eastAsia="zh-CN" w:bidi="ar-SA"/>
                  </w:rPr>
                  <m:t>+</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b</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m:t>
                </m:r>
              </m:oMath>
            </m:oMathPara>
          </w:p>
          <w:p w14:paraId="4346AC74">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其中：</w:t>
            </w:r>
          </w:p>
          <w:p w14:paraId="64CCA308">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(1)</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1024</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(2)</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1024</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512</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W</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(3)</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256</m:t>
                  </m:r>
                  <m:ctrlPr>
                    <w:rPr>
                      <w:rFonts w:hint="eastAsia" w:ascii="Cambria Math" w:hAnsi="Cambria Math" w:eastAsia="宋体" w:cs="宋体"/>
                      <w:i/>
                      <w:color w:val="000000"/>
                      <w:kern w:val="2"/>
                      <w:sz w:val="28"/>
                      <w:szCs w:val="28"/>
                      <w:lang w:val="en-US" w:bidi="ar-SA"/>
                    </w:rPr>
                  </m:ctrlPr>
                </m:sup>
              </m:sSup>
              <m:r>
                <m:rPr/>
                <w:rPr>
                  <w:rFonts w:hint="eastAsia" w:ascii="Cambria Math" w:hAnsi="Cambria Math" w:eastAsia="宋体" w:cs="宋体"/>
                  <w:color w:val="000000"/>
                  <w:kern w:val="2"/>
                  <w:sz w:val="28"/>
                  <w:szCs w:val="28"/>
                  <w:lang w:val="en-US" w:eastAsia="zh-CN" w:bidi="ar-SA"/>
                </w:rPr>
                <m:t>.</m:t>
              </m:r>
            </m:oMath>
          </w:p>
          <w:p w14:paraId="53A28CC9">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对归一化后的特征：</w:t>
            </w:r>
          </w:p>
          <w:p w14:paraId="34CE908F">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宋体" w:hAnsi="宋体" w:eastAsia="宋体" w:cs="宋体"/>
                <w:i w:val="0"/>
                <w:color w:val="000000"/>
                <w:kern w:val="2"/>
                <w:sz w:val="28"/>
                <w:szCs w:val="28"/>
                <w:lang w:val="en-US" w:eastAsia="zh-CN" w:bidi="ar-SA"/>
              </w:rPr>
            </w:pPr>
            <m:oMath>
              <m:sSubSup>
                <m:sSubSupPr>
                  <m:ctrlPr>
                    <w:rPr>
                      <w:rFonts w:hint="eastAsia" w:ascii="Cambria Math" w:hAnsi="Cambria Math" w:eastAsia="宋体" w:cs="宋体"/>
                      <w:i/>
                      <w:color w:val="000000"/>
                      <w:kern w:val="2"/>
                      <w:sz w:val="28"/>
                      <w:szCs w:val="28"/>
                      <w:lang w:val="en-US" w:bidi="ar-SA"/>
                    </w:rPr>
                  </m:ctrlPr>
                </m:sSubSupPr>
                <m:e>
                  <m:r>
                    <m:rPr/>
                    <w:rPr>
                      <w:rFonts w:hint="eastAsia" w:ascii="Cambria Math" w:hAnsi="Cambria Math" w:eastAsia="宋体" w:cs="宋体"/>
                      <w:color w:val="000000"/>
                      <w:kern w:val="2"/>
                      <w:sz w:val="28"/>
                      <w:szCs w:val="28"/>
                      <w:lang w:val="en-US" w:eastAsia="zh-CN" w:bidi="ar-SA"/>
                    </w:rPr>
                    <m:t>f</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bidi="ar-SA"/>
                </w:rPr>
                <m:t>∈</m:t>
              </m:r>
              <m:sSup>
                <m:sSupPr>
                  <m:ctrlPr>
                    <w:rPr>
                      <w:rFonts w:hint="eastAsia" w:ascii="Cambria Math" w:hAnsi="Cambria Math" w:eastAsia="宋体" w:cs="宋体"/>
                      <w:i/>
                      <w:color w:val="000000"/>
                      <w:kern w:val="2"/>
                      <w:sz w:val="28"/>
                      <w:szCs w:val="28"/>
                      <w:lang w:val="en-US"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bidi="ar-SA"/>
                    </w:rPr>
                  </m:ctrlPr>
                </m:e>
                <m:sup>
                  <m:r>
                    <m:rPr/>
                    <w:rPr>
                      <w:rFonts w:hint="eastAsia" w:ascii="Cambria Math" w:hAnsi="Cambria Math" w:eastAsia="宋体" w:cs="宋体"/>
                      <w:color w:val="000000"/>
                      <w:kern w:val="2"/>
                      <w:sz w:val="28"/>
                      <w:szCs w:val="28"/>
                      <w:lang w:val="en-US" w:eastAsia="zh-CN" w:bidi="ar-SA"/>
                    </w:rPr>
                    <m:t>512</m:t>
                  </m:r>
                  <m:ctrlPr>
                    <w:rPr>
                      <w:rFonts w:hint="eastAsia" w:ascii="Cambria Math" w:hAnsi="Cambria Math" w:eastAsia="宋体" w:cs="宋体"/>
                      <w:i/>
                      <w:color w:val="000000"/>
                      <w:kern w:val="2"/>
                      <w:sz w:val="28"/>
                      <w:szCs w:val="28"/>
                      <w:lang w:val="en-US" w:bidi="ar-SA"/>
                    </w:rPr>
                  </m:ctrlPr>
                </m:sup>
              </m:sSup>
            </m:oMath>
            <w:r>
              <w:rPr>
                <w:rFonts w:hint="eastAsia" w:ascii="宋体" w:hAnsi="宋体" w:eastAsia="宋体" w:cs="宋体"/>
                <w:i w:val="0"/>
                <w:color w:val="000000"/>
                <w:kern w:val="2"/>
                <w:sz w:val="28"/>
                <w:szCs w:val="28"/>
                <w:lang w:val="en-US" w:eastAsia="zh-CN" w:bidi="ar-SA"/>
              </w:rPr>
              <w:t>，</w:t>
            </w:r>
          </w:p>
          <w:p w14:paraId="0A37BB83">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经过专家网络得到：</w:t>
            </w:r>
          </w:p>
          <w:p w14:paraId="138F22D6">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m:oMathPara>
              <m:oMath>
                <m:sSubSup>
                  <m:sSubSupPr>
                    <m:ctrlPr>
                      <w:rPr>
                        <w:rFonts w:hint="eastAsia" w:ascii="Cambria Math" w:hAnsi="Cambria Math" w:eastAsia="宋体" w:cs="宋体"/>
                        <w:i/>
                        <w:color w:val="000000"/>
                        <w:kern w:val="2"/>
                        <w:sz w:val="28"/>
                        <w:szCs w:val="28"/>
                        <w:lang w:val="en-US" w:bidi="ar-SA"/>
                      </w:rPr>
                    </m:ctrlPr>
                  </m:sSubSupPr>
                  <m:e>
                    <m:r>
                      <m:rPr/>
                      <w:rPr>
                        <w:rFonts w:hint="default"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bidi="ar-SA"/>
                      </w:rPr>
                    </m:ctrlPr>
                  </m:sup>
                </m:sSubSup>
                <m:r>
                  <m:rPr/>
                  <w:rPr>
                    <w:rFonts w:hint="eastAsia" w:ascii="Cambria Math" w:hAnsi="Cambria Math" w:eastAsia="宋体" w:cs="宋体"/>
                    <w:color w:val="000000"/>
                    <w:kern w:val="2"/>
                    <w:sz w:val="28"/>
                    <w:szCs w:val="28"/>
                    <w:lang w:val="en-US" w:eastAsia="zh-CN" w:bidi="ar-SA"/>
                  </w:rPr>
                  <m:t>=</m:t>
                </m:r>
                <m:sSub>
                  <m:sSubPr>
                    <m:ctrlPr>
                      <w:rPr>
                        <w:rFonts w:hint="eastAsia" w:ascii="Cambria Math" w:hAnsi="Cambria Math" w:eastAsia="宋体" w:cs="宋体"/>
                        <w:i/>
                        <w:color w:val="000000"/>
                        <w:kern w:val="2"/>
                        <w:sz w:val="28"/>
                        <w:szCs w:val="28"/>
                        <w:lang w:val="en-US" w:eastAsia="zh-CN" w:bidi="ar-SA"/>
                      </w:rPr>
                    </m:ctrlPr>
                  </m:sSubPr>
                  <m:e>
                    <m:r>
                      <m:rPr/>
                      <w:rPr>
                        <w:rFonts w:hint="eastAsia" w:ascii="Cambria Math" w:hAnsi="Cambria Math" w:eastAsia="宋体" w:cs="宋体"/>
                        <w:color w:val="000000"/>
                        <w:kern w:val="2"/>
                        <w:sz w:val="28"/>
                        <w:szCs w:val="28"/>
                        <w:lang w:val="en-US" w:eastAsia="zh-CN" w:bidi="ar-SA"/>
                      </w:rPr>
                      <m:t>E</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Sub>
                <m:d>
                  <m:dPr>
                    <m:ctrlPr>
                      <w:rPr>
                        <w:rFonts w:hint="eastAsia" w:ascii="Cambria Math" w:hAnsi="Cambria Math" w:eastAsia="宋体" w:cs="宋体"/>
                        <w:i/>
                        <w:color w:val="000000"/>
                        <w:kern w:val="2"/>
                        <w:sz w:val="28"/>
                        <w:szCs w:val="28"/>
                        <w:lang w:val="en-US" w:eastAsia="zh-CN" w:bidi="ar-SA"/>
                      </w:rPr>
                    </m:ctrlPr>
                  </m:dPr>
                  <m:e>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f</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eastAsia="zh-CN" w:bidi="ar-SA"/>
                          </w:rPr>
                        </m:ctrlPr>
                      </m:sup>
                    </m:sSubSup>
                    <m:ctrlPr>
                      <w:rPr>
                        <w:rFonts w:hint="eastAsia" w:ascii="Cambria Math" w:hAnsi="Cambria Math" w:eastAsia="宋体" w:cs="宋体"/>
                        <w:i/>
                        <w:color w:val="000000"/>
                        <w:kern w:val="2"/>
                        <w:sz w:val="28"/>
                        <w:szCs w:val="28"/>
                        <w:lang w:val="en-US" w:eastAsia="zh-CN" w:bidi="ar-SA"/>
                      </w:rPr>
                    </m:ctrlPr>
                  </m:e>
                </m:d>
                <m:r>
                  <m:rPr/>
                  <w:rPr>
                    <w:rFonts w:hint="eastAsia" w:ascii="Cambria Math" w:hAnsi="Cambria Math" w:eastAsia="宋体" w:cs="宋体"/>
                    <w:color w:val="000000"/>
                    <w:kern w:val="2"/>
                    <w:sz w:val="28"/>
                    <w:szCs w:val="28"/>
                    <w:lang w:val="en-US" w:eastAsia="zh-CN" w:bidi="ar-SA"/>
                  </w:rPr>
                  <m:t>∈</m:t>
                </m:r>
                <m:sSup>
                  <m:sSupPr>
                    <m:ctrlPr>
                      <w:rPr>
                        <w:rFonts w:hint="eastAsia" w:ascii="Cambria Math" w:hAnsi="Cambria Math" w:eastAsia="宋体" w:cs="宋体"/>
                        <w:i/>
                        <w:color w:val="000000"/>
                        <w:kern w:val="2"/>
                        <w:sz w:val="28"/>
                        <w:szCs w:val="28"/>
                        <w:lang w:val="en-US" w:eastAsia="zh-CN" w:bidi="ar-SA"/>
                      </w:rPr>
                    </m:ctrlPr>
                  </m:sSupPr>
                  <m:e>
                    <m:r>
                      <m:rPr/>
                      <w:rPr>
                        <w:rFonts w:hint="eastAsia" w:ascii="Cambria Math" w:hAnsi="Cambria Math" w:eastAsia="宋体" w:cs="宋体"/>
                        <w:color w:val="000000"/>
                        <w:kern w:val="2"/>
                        <w:sz w:val="28"/>
                        <w:szCs w:val="28"/>
                        <w:lang w:val="en-US" w:eastAsia="zh-CN" w:bidi="ar-SA"/>
                      </w:rPr>
                      <m:t>R</m:t>
                    </m:r>
                    <m:ctrlPr>
                      <w:rPr>
                        <w:rFonts w:hint="eastAsia" w:ascii="Cambria Math" w:hAnsi="Cambria Math" w:eastAsia="宋体" w:cs="宋体"/>
                        <w:i/>
                        <w:color w:val="000000"/>
                        <w:kern w:val="2"/>
                        <w:sz w:val="28"/>
                        <w:szCs w:val="28"/>
                        <w:lang w:val="en-US" w:eastAsia="zh-CN" w:bidi="ar-SA"/>
                      </w:rPr>
                    </m:ctrlPr>
                  </m:e>
                  <m:sup>
                    <m:r>
                      <m:rPr/>
                      <w:rPr>
                        <w:rFonts w:hint="eastAsia" w:ascii="Cambria Math" w:hAnsi="Cambria Math" w:eastAsia="宋体" w:cs="宋体"/>
                        <w:color w:val="000000"/>
                        <w:kern w:val="2"/>
                        <w:sz w:val="28"/>
                        <w:szCs w:val="28"/>
                        <w:lang w:val="en-US" w:eastAsia="zh-CN" w:bidi="ar-SA"/>
                      </w:rPr>
                      <m:t>256</m:t>
                    </m:r>
                    <m:ctrlPr>
                      <w:rPr>
                        <w:rFonts w:hint="eastAsia" w:ascii="Cambria Math" w:hAnsi="Cambria Math" w:eastAsia="宋体" w:cs="宋体"/>
                        <w:i/>
                        <w:color w:val="000000"/>
                        <w:kern w:val="2"/>
                        <w:sz w:val="28"/>
                        <w:szCs w:val="28"/>
                        <w:lang w:val="en-US" w:eastAsia="zh-CN" w:bidi="ar-SA"/>
                      </w:rPr>
                    </m:ctrlPr>
                  </m:sup>
                </m:sSup>
                <m:r>
                  <m:rPr/>
                  <w:rPr>
                    <w:rFonts w:hint="eastAsia" w:ascii="Cambria Math" w:hAnsi="Cambria Math" w:eastAsia="宋体" w:cs="宋体"/>
                    <w:color w:val="000000"/>
                    <w:kern w:val="2"/>
                    <w:sz w:val="28"/>
                    <w:szCs w:val="28"/>
                    <w:lang w:val="en-US" w:eastAsia="zh-CN" w:bidi="ar-SA"/>
                  </w:rPr>
                  <m:t>.</m:t>
                </m:r>
              </m:oMath>
            </m:oMathPara>
          </w:p>
          <w:p w14:paraId="1CF9D244">
            <w:pPr>
              <w:keepNext w:val="0"/>
              <w:keepLines w:val="0"/>
              <w:pageBreakBefore w:val="0"/>
              <w:widowControl w:val="0"/>
              <w:kinsoku/>
              <w:wordWrap/>
              <w:overflowPunct/>
              <w:topLinePunct w:val="0"/>
              <w:autoSpaceDE/>
              <w:autoSpaceDN/>
              <w:bidi w:val="0"/>
              <w:adjustRightInd/>
              <w:snapToGrid/>
              <w:spacing w:line="340" w:lineRule="exact"/>
              <w:jc w:val="both"/>
              <w:textAlignment w:val="auto"/>
              <w:rPr>
                <w:rFonts w:hint="eastAsia" w:ascii="宋体" w:hAnsi="宋体" w:eastAsia="宋体" w:cs="宋体"/>
                <w:i w:val="0"/>
                <w:color w:val="000000"/>
                <w:kern w:val="2"/>
                <w:sz w:val="28"/>
                <w:szCs w:val="28"/>
                <w:lang w:val="en-US" w:eastAsia="zh-CN" w:bidi="ar-SA"/>
              </w:rPr>
            </w:pPr>
            <w:r>
              <w:rPr>
                <w:rFonts w:hint="eastAsia" w:ascii="宋体" w:hAnsi="宋体" w:eastAsia="宋体" w:cs="宋体"/>
                <w:i w:val="0"/>
                <w:color w:val="000000"/>
                <w:kern w:val="2"/>
                <w:sz w:val="28"/>
                <w:szCs w:val="28"/>
                <w:lang w:val="en-US" w:eastAsia="zh-CN" w:bidi="ar-SA"/>
              </w:rPr>
              <w:t>最终形成尺度特征集合：</w:t>
            </w:r>
          </w:p>
          <w:p w14:paraId="78F78221">
            <w:pPr>
              <w:keepNext w:val="0"/>
              <w:keepLines w:val="0"/>
              <w:pageBreakBefore w:val="0"/>
              <w:widowControl w:val="0"/>
              <w:kinsoku/>
              <w:wordWrap/>
              <w:overflowPunct/>
              <w:topLinePunct w:val="0"/>
              <w:autoSpaceDE/>
              <w:autoSpaceDN/>
              <w:bidi w:val="0"/>
              <w:adjustRightInd/>
              <w:snapToGrid/>
              <w:spacing w:line="340" w:lineRule="exact"/>
              <w:jc w:val="both"/>
              <w:textAlignment w:val="auto"/>
              <m:rPr/>
              <w:rPr>
                <w:rFonts w:hint="eastAsia" w:hAnsi="Cambria Math" w:eastAsia="宋体" w:cs="宋体"/>
                <w:i w:val="0"/>
                <w:color w:val="000000"/>
                <w:kern w:val="2"/>
                <w:sz w:val="28"/>
                <w:szCs w:val="28"/>
                <w:lang w:val="en-US" w:eastAsia="zh-CN" w:bidi="ar-SA"/>
              </w:rPr>
            </w:pPr>
            <m:oMathPara>
              <m:oMath>
                <m:sSub>
                  <m:sSubPr>
                    <m:ctrlPr>
                      <w:rPr>
                        <w:rFonts w:hint="eastAsia" w:ascii="Cambria Math" w:hAnsi="Cambria Math" w:eastAsia="宋体" w:cs="宋体"/>
                        <w:i/>
                        <w:color w:val="000000"/>
                        <w:kern w:val="2"/>
                        <w:sz w:val="28"/>
                        <w:szCs w:val="28"/>
                        <w:lang w:val="en-US" w:bidi="ar-SA"/>
                      </w:rPr>
                    </m:ctrlPr>
                  </m:sSubPr>
                  <m:e>
                    <m:r>
                      <m:rPr/>
                      <w:rPr>
                        <w:rFonts w:hint="eastAsia"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bidi="ar-SA"/>
                      </w:rPr>
                    </m:ctrlPr>
                  </m:sub>
                </m:sSub>
                <m:r>
                  <m:rPr/>
                  <w:rPr>
                    <w:rFonts w:hint="eastAsia" w:ascii="Cambria Math" w:hAnsi="Cambria Math" w:eastAsia="宋体" w:cs="宋体"/>
                    <w:color w:val="000000"/>
                    <w:kern w:val="2"/>
                    <w:sz w:val="28"/>
                    <w:szCs w:val="28"/>
                    <w:lang w:val="en-US" w:eastAsia="zh-CN" w:bidi="ar-SA"/>
                  </w:rPr>
                  <m:t>={</m:t>
                </m:r>
                <m:sSubSup>
                  <m:sSubSupPr>
                    <m:ctrlPr>
                      <w:rPr>
                        <w:rFonts w:hint="eastAsia" w:ascii="Cambria Math" w:hAnsi="Cambria Math" w:eastAsia="宋体" w:cs="宋体"/>
                        <w:i/>
                        <w:color w:val="000000"/>
                        <w:kern w:val="2"/>
                        <w:sz w:val="28"/>
                        <w:szCs w:val="28"/>
                        <w:lang w:val="en-US" w:eastAsia="zh-CN" w:bidi="ar-SA"/>
                      </w:rPr>
                    </m:ctrlPr>
                  </m:sSubSupPr>
                  <m:e>
                    <m:r>
                      <m:rPr/>
                      <w:rPr>
                        <w:rFonts w:hint="eastAsia" w:ascii="Cambria Math" w:hAnsi="Cambria Math" w:eastAsia="宋体" w:cs="宋体"/>
                        <w:color w:val="000000"/>
                        <w:kern w:val="2"/>
                        <w:sz w:val="28"/>
                        <w:szCs w:val="28"/>
                        <w:lang w:val="en-US" w:eastAsia="zh-CN" w:bidi="ar-SA"/>
                      </w:rPr>
                      <m:t>h</m:t>
                    </m:r>
                    <m:ctrlPr>
                      <w:rPr>
                        <w:rFonts w:hint="eastAsia" w:ascii="Cambria Math" w:hAnsi="Cambria Math" w:eastAsia="宋体" w:cs="宋体"/>
                        <w:i/>
                        <w:color w:val="000000"/>
                        <w:kern w:val="2"/>
                        <w:sz w:val="28"/>
                        <w:szCs w:val="28"/>
                        <w:lang w:val="en-US" w:eastAsia="zh-CN" w:bidi="ar-SA"/>
                      </w:rPr>
                    </m:ctrlPr>
                  </m:e>
                  <m:sub>
                    <m:r>
                      <m:rPr/>
                      <w:rPr>
                        <w:rFonts w:hint="eastAsia" w:ascii="Cambria Math" w:hAnsi="Cambria Math" w:eastAsia="宋体" w:cs="宋体"/>
                        <w:color w:val="000000"/>
                        <w:kern w:val="2"/>
                        <w:sz w:val="28"/>
                        <w:szCs w:val="28"/>
                        <w:lang w:val="en-US" w:eastAsia="zh-CN" w:bidi="ar-SA"/>
                      </w:rPr>
                      <m:t>k</m:t>
                    </m:r>
                    <m:ctrlPr>
                      <w:rPr>
                        <w:rFonts w:hint="eastAsia" w:ascii="Cambria Math" w:hAnsi="Cambria Math" w:eastAsia="宋体" w:cs="宋体"/>
                        <w:i/>
                        <w:color w:val="000000"/>
                        <w:kern w:val="2"/>
                        <w:sz w:val="28"/>
                        <w:szCs w:val="28"/>
                        <w:lang w:val="en-US" w:eastAsia="zh-CN" w:bidi="ar-SA"/>
                      </w:rPr>
                    </m:ctrlPr>
                  </m:sub>
                  <m:sup>
                    <m:r>
                      <m:rPr/>
                      <w:rPr>
                        <w:rFonts w:hint="eastAsia" w:ascii="Cambria Math" w:hAnsi="Cambria Math" w:eastAsia="宋体" w:cs="宋体"/>
                        <w:color w:val="000000"/>
                        <w:kern w:val="2"/>
                        <w:sz w:val="28"/>
                        <w:szCs w:val="28"/>
                        <w:lang w:val="en-US" w:eastAsia="zh-CN" w:bidi="ar-SA"/>
                      </w:rPr>
                      <m:t>(i,j)</m:t>
                    </m:r>
                    <m:ctrlPr>
                      <w:rPr>
                        <w:rFonts w:hint="eastAsia" w:ascii="Cambria Math" w:hAnsi="Cambria Math" w:eastAsia="宋体" w:cs="宋体"/>
                        <w:i/>
                        <w:color w:val="000000"/>
                        <w:kern w:val="2"/>
                        <w:sz w:val="28"/>
                        <w:szCs w:val="28"/>
                        <w:lang w:val="en-US" w:eastAsia="zh-CN" w:bidi="ar-SA"/>
                      </w:rPr>
                    </m:ctrlPr>
                  </m:sup>
                </m:sSubSup>
                <m:r>
                  <m:rPr/>
                  <w:rPr>
                    <w:rFonts w:hint="eastAsia" w:ascii="Cambria Math" w:hAnsi="Cambria Math" w:eastAsia="宋体" w:cs="宋体"/>
                    <w:color w:val="000000"/>
                    <w:kern w:val="2"/>
                    <w:sz w:val="28"/>
                    <w:szCs w:val="28"/>
                    <w:lang w:val="en-US" w:eastAsia="zh-CN" w:bidi="ar-SA"/>
                  </w:rPr>
                  <m:t>|</m:t>
                </m:r>
                <m:r>
                  <m:rPr/>
                  <w:rPr>
                    <w:rFonts w:hint="eastAsia" w:ascii="Cambria Math" w:hAnsi="Cambria Math" w:eastAsia="宋体" w:cs="宋体"/>
                    <w:color w:val="000000"/>
                    <w:kern w:val="2"/>
                    <w:sz w:val="28"/>
                    <w:szCs w:val="28"/>
                    <w:lang w:val="en-US" w:bidi="ar-SA"/>
                  </w:rPr>
                  <m:t>∀</m:t>
                </m:r>
                <m:r>
                  <m:rPr/>
                  <w:rPr>
                    <w:rFonts w:hint="eastAsia" w:ascii="Cambria Math" w:hAnsi="Cambria Math" w:eastAsia="宋体" w:cs="宋体"/>
                    <w:color w:val="000000"/>
                    <w:kern w:val="2"/>
                    <w:sz w:val="28"/>
                    <w:szCs w:val="28"/>
                    <w:lang w:val="en-US" w:eastAsia="zh-CN" w:bidi="ar-SA"/>
                  </w:rPr>
                  <m:t>(i,j)}.</m:t>
                </m:r>
              </m:oMath>
            </m:oMathPara>
          </w:p>
          <w:p w14:paraId="241D0E23">
            <w:pPr>
              <w:keepNext w:val="0"/>
              <w:keepLines w:val="0"/>
              <w:pageBreakBefore w:val="0"/>
              <w:widowControl w:val="0"/>
              <w:kinsoku/>
              <w:wordWrap/>
              <w:overflowPunct/>
              <w:topLinePunct w:val="0"/>
              <w:autoSpaceDE/>
              <w:autoSpaceDN/>
              <w:bidi w:val="0"/>
              <w:adjustRightInd/>
              <w:snapToGrid/>
              <w:spacing w:line="340" w:lineRule="exact"/>
              <w:jc w:val="both"/>
              <w:textAlignment w:val="auto"/>
              <m:rPr/>
              <w:rPr>
                <w:rFonts w:hint="eastAsia" w:hAnsi="Cambria Math" w:eastAsia="宋体" w:cs="宋体"/>
                <w:i w:val="0"/>
                <w:color w:val="000000"/>
                <w:kern w:val="2"/>
                <w:sz w:val="28"/>
                <w:szCs w:val="28"/>
                <w:lang w:val="en-US" w:eastAsia="zh-CN" w:bidi="ar-SA"/>
              </w:rPr>
            </w:pPr>
          </w:p>
          <w:p w14:paraId="63301E72">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（三）跨模态行人重识别整体网络框架构建及实验验证</w:t>
            </w:r>
          </w:p>
          <w:p w14:paraId="3313A9D2">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在上述两类关键模块的基础上，本研究将设计并构建一个端到端的跨模态 ReID 网络框架，并在 RGBNT201、RGBNT100、MSVR310 三个主流 RGB-NIR-TIR 数据集上进行全面实验评估。研究内容包括：</w:t>
            </w:r>
          </w:p>
          <w:p w14:paraId="22FF74BA">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整体模型架构搭建与训练策略设计： 明确 backbone、滑动窗口模块、专家融合模块以及匹配损失函数之间的协同关系，构建完整的跨模态学习流程；</w:t>
            </w:r>
          </w:p>
          <w:p w14:paraId="495E1A65">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跨模态匹配能力验证： 重点评估模型在 RGB↔NIR、RGB↔TIR、NIR↔TIR 等不同模态组合下的检索性能。核心评估指标包括 平均精度均值（mAP） 和 首位命中率（Rank-1） 及 Rank-N，同时分析模型对噪声/光照的敏感性以及特征空间分布变化情况；</w:t>
            </w:r>
          </w:p>
          <w:p w14:paraId="6BACFA13">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多尺度滑动窗口与专家网络的有效性验证： 结合消融实验，分析不同窗口尺度、专家数量、门控策略对识别性能的贡献，并以 mAP 和 Rank-1 指标的变化量化模块的有效性；</w:t>
            </w:r>
          </w:p>
          <w:p w14:paraId="4CBC6E56">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对比实验： 与现有多模态 ReID 方法、多尺度学习方法、MoE 融合结构进行定量对比，着重比较模型在 Rank-1、Rank-5 和 mAP 等核心指标上的表现，验证模型在不同数据分布、复杂场景下的优势与鲁棒性；</w:t>
            </w:r>
          </w:p>
          <w:p w14:paraId="524C10E2">
            <w:pPr>
              <w:numPr>
                <w:ilvl w:val="0"/>
                <w:numId w:val="3"/>
              </w:num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可扩展性与实际应用潜力分析： 从推理速度、模型复杂度、多模态不完整条件（如缺失模态）等方面评估所提出方法的实际应用价值。</w:t>
            </w:r>
          </w:p>
          <w:p w14:paraId="46A67C03">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通过以上实验，本研究将系统展示多尺度滑动窗口与专家融合机制在跨模态 ReID 中的有效性，并通过 mAP 和 Rank-N 等指标的提升，证明本研究为多模态一致性建模提供新的技术途径。</w:t>
            </w:r>
          </w:p>
        </w:tc>
      </w:tr>
    </w:tbl>
    <w:p w14:paraId="22BBACCE">
      <w:pPr>
        <w:numPr>
          <w:numId w:val="0"/>
        </w:numPr>
        <w:bidi w:val="0"/>
        <w:rPr>
          <w:rFonts w:hint="eastAsia" w:ascii="黑体" w:eastAsia="黑体"/>
          <w:sz w:val="28"/>
          <w:szCs w:val="28"/>
        </w:rPr>
      </w:pPr>
    </w:p>
    <w:p w14:paraId="7614045A">
      <w:pPr>
        <w:numPr>
          <w:numId w:val="0"/>
        </w:numPr>
        <w:bidi w:val="0"/>
        <w:rPr>
          <w:rFonts w:hint="eastAsia" w:ascii="黑体" w:eastAsia="黑体"/>
          <w:sz w:val="28"/>
          <w:szCs w:val="28"/>
        </w:rPr>
      </w:pPr>
    </w:p>
    <w:p w14:paraId="32A07CF9">
      <w:pPr>
        <w:numPr>
          <w:ilvl w:val="0"/>
          <w:numId w:val="4"/>
        </w:numPr>
        <w:bidi w:val="0"/>
        <w:rPr>
          <w:rFonts w:hint="eastAsia" w:ascii="黑体" w:eastAsia="黑体"/>
          <w:sz w:val="28"/>
          <w:szCs w:val="28"/>
        </w:rPr>
      </w:pPr>
      <w:r>
        <w:rPr>
          <w:rFonts w:hint="eastAsia" w:ascii="黑体" w:eastAsia="黑体"/>
          <w:sz w:val="28"/>
          <w:szCs w:val="28"/>
        </w:rPr>
        <w:t>工作的重点与难点，拟采取的解决方案</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410FCEE">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5798" w:hRule="atLeast"/>
        </w:trPr>
        <w:tc>
          <w:tcPr>
            <w:tcW w:w="9286" w:type="dxa"/>
            <w:noWrap w:val="0"/>
            <w:vAlign w:val="top"/>
          </w:tcPr>
          <w:p w14:paraId="3BA4CC8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本课题围绕“基于多尺度滑动窗口与专家网络融合的跨模态行人重识别方法”展开研究，其主要工作重点在于构建一个能够同时处理多模态特征差异、多尺度语义信息以及跨尺度协同学习机制的完整 ReID 框架。</w:t>
            </w:r>
          </w:p>
          <w:p w14:paraId="6ECBE00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在实际跨模态识别场景中，由于 RGB、近红外与热红外模态在成像机制、光谱分布及纹理细节方面存在显著差异，导致数据分布不一致、特征偏差明显，因此如何设计一个有效的跨模态表征学习体系是研究工作的核心任务之一。</w:t>
            </w:r>
          </w:p>
          <w:p w14:paraId="5D25DFF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具体而言，本课题首先需要重点解决的是多尺度滑动窗口的特征提取机制，即通过设计不同比例（如 4×4、8×8、16×16）的窗口捕获跨模态图像中的局部与全局语义信息，从而实现细粒度纹理特征与高层语义结构的协同编码；然而多尺度窗口会带来计算量增长、冗余区域增多以及尺度间信息不一致等问题，使得模型容易出现表征不稳定或信息冗余的情况。</w:t>
            </w:r>
          </w:p>
          <w:p w14:paraId="52D13DA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其次，在融合阶段，专家网络（Mixture-of-Experts, MoE）虽然能够通过“专家分工”提升特征处理的针对性，但在跨模态场景中容易出现专家负载不均衡、部分专家过度激活或完全未被使用等现象，导致融合效果不理想。此外，跨模态特征对齐与身份判别性之间的平衡亦是一大难点：若过度对齐可能导致空间过于平滑、身份区分度下降；对齐不足则无法有效缓解模态间差异，导致跨摄像头匹配性能受限。最后，本研究还需在 RGBNT201、RGBNT100 与 MSVR310 三个公开多模态数据集上完成系统验证，不同数据集的场景设置、模态比例、拍摄条件均存在差异，对模型泛化能力提出了较高要求。</w:t>
            </w:r>
          </w:p>
          <w:p w14:paraId="48540CBF">
            <w:pPr>
              <w:bidi w:val="0"/>
              <w:spacing w:line="340" w:lineRule="exact"/>
              <w:ind w:firstLine="562" w:firstLineChars="200"/>
              <w:rPr>
                <w:rFonts w:hint="eastAsia" w:ascii="宋体" w:hAnsi="宋体" w:eastAsia="宋体" w:cs="宋体"/>
                <w:b/>
                <w:bCs/>
                <w:sz w:val="28"/>
                <w:szCs w:val="28"/>
                <w:lang w:eastAsia="zh-CN"/>
              </w:rPr>
            </w:pPr>
            <w:r>
              <w:rPr>
                <w:rFonts w:hint="eastAsia" w:ascii="宋体" w:hAnsi="宋体" w:eastAsia="宋体" w:cs="宋体"/>
                <w:b/>
                <w:bCs/>
                <w:sz w:val="28"/>
                <w:szCs w:val="28"/>
              </w:rPr>
              <w:t>针对上述重点与难点，本课题拟采取系统性的技术方案</w:t>
            </w:r>
            <w:r>
              <w:rPr>
                <w:rFonts w:hint="eastAsia" w:ascii="宋体" w:hAnsi="宋体" w:eastAsia="宋体" w:cs="宋体"/>
                <w:b/>
                <w:bCs/>
                <w:sz w:val="28"/>
                <w:szCs w:val="28"/>
                <w:lang w:eastAsia="zh-CN"/>
              </w:rPr>
              <w:t>：</w:t>
            </w:r>
          </w:p>
          <w:p w14:paraId="32D0DAA4">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首先，在多尺度特征提取方面，构建层次化的多尺度滑动窗口体系，并通过自适应步长策略和区域筛选机制减少冗余窗口，从而保证模型能够充分捕获跨层级特征，同时降低计算开销；此外，通过尺度一致性约束、跨窗口差异抑制等结构性损失增强多尺度特征的协同性，提升表示的稳定性和判别性。</w:t>
            </w:r>
          </w:p>
          <w:p w14:paraId="273B20FF">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其次，在专家网络融合方面，引入轻量级门控机制，依据模态特征的统计特性动态选择专家，使其根据输入模态自适应执行专业化处理；同时加入负载均衡损失以防止专家使用率过度偏向，提高 MoE 结构的稳定性与有效性，并在不同专家内部引入差异化结构（如卷积核尺寸、空间注意力模块），进一步强化专家间的互补性。再次，在跨模态一致性学习方面，通过模态不变损失、对抗式对齐模块或 KL 散度约束等方法构建共享特征空间，并结合 triplet loss、center loss 等判别性学习策略，以同时提升跨模态一致性与身份区分能力。</w:t>
            </w:r>
          </w:p>
          <w:p w14:paraId="1864A99C">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最后，本课题将在多个数据集上开展全面的实验验证，包括跨模态检索性能测试、消融实验、多尺度窗口贡献分析、专家选择行为可视化等，以确保所提出方法具备良好的泛化能力、鲁棒性与实际应用价值。</w:t>
            </w:r>
          </w:p>
        </w:tc>
      </w:tr>
    </w:tbl>
    <w:p w14:paraId="7B81B862">
      <w:pPr>
        <w:bidi w:val="0"/>
        <w:rPr>
          <w:rFonts w:hint="eastAsia" w:ascii="黑体" w:eastAsia="黑体"/>
          <w:sz w:val="28"/>
          <w:szCs w:val="28"/>
        </w:rPr>
      </w:pPr>
      <w:r>
        <w:rPr>
          <w:rFonts w:hint="eastAsia" w:ascii="黑体" w:eastAsia="黑体"/>
          <w:sz w:val="28"/>
          <w:szCs w:val="28"/>
        </w:rPr>
        <w:t>五、论文工作量及进度</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7F54B6AB">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trHeight w:val="4189" w:hRule="atLeast"/>
        </w:trPr>
        <w:tc>
          <w:tcPr>
            <w:tcW w:w="9286" w:type="dxa"/>
            <w:noWrap w:val="0"/>
            <w:vAlign w:val="top"/>
          </w:tcPr>
          <w:p w14:paraId="2E2B863E">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一、论文工作量</w:t>
            </w:r>
          </w:p>
          <w:p w14:paraId="359FC0F9">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lang w:val="en-US" w:eastAsia="zh-CN"/>
              </w:rPr>
              <w:t>1.</w:t>
            </w:r>
            <w:r>
              <w:rPr>
                <w:rFonts w:hint="eastAsia" w:ascii="宋体" w:hAnsi="宋体" w:eastAsia="宋体" w:cs="宋体"/>
                <w:b/>
                <w:bCs/>
                <w:sz w:val="28"/>
                <w:szCs w:val="28"/>
              </w:rPr>
              <w:t>文献调研与理论分析工作量</w:t>
            </w:r>
          </w:p>
          <w:p w14:paraId="04BF859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需要对跨模态行人重识别、多尺度特征学习、滑动窗口机制、专家网络架构、门控网络权重分配等方向进行系统文献调研，阅读大量国内外期刊论文与会议论文（如CVPR、ICCV、ECCV等）。需对现有模型结构、优化策略、跨模态对齐方法、数据集特点与实验评测指标进行深入分析，形成一套系统的理论基础与方法现状总结。该阶段信息量大、研究范围广、理论抽象程度高，是整个研究的重要基础。</w:t>
            </w:r>
          </w:p>
          <w:p w14:paraId="4A6AFD00">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2. 模型设计与算法框架构建工作量</w:t>
            </w:r>
          </w:p>
          <w:p w14:paraId="3370D23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在明确研究问题后，需要设计基于多尺度滑动窗口的跨模态特征提取机制，并构建包含多个专家网络分支及门控融合策略的整体模型结构。这部分涉及模型模块划分、网络层级设计、多尺度特征组织方式、跨模态输入结构化处理与融合机制构建等，要求结合理论推导与工程可实现性，属于较高难度的模型创新与架构设计工作。</w:t>
            </w:r>
          </w:p>
          <w:p w14:paraId="6E32F345">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3. 模型实现、训练管线搭建与功能调试工作量</w:t>
            </w:r>
          </w:p>
          <w:p w14:paraId="5B393618">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本阶段需基于深度学习框架（如 PyTorch）实现完整的模型，包括数据预处理模块、不同模态数据的加载与同步机制、多尺度滑动窗口生成器、专家网络训练逻辑、门控权重计算方式以及最终特征融合的前向/反向过程。同时还需搭建训练管线、损失函数组合逻辑、梯度处理策略以及训练稳定性调试，工程量大，调试周期较长。</w:t>
            </w:r>
          </w:p>
          <w:p w14:paraId="53150FE1">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4. 实验验证、对比实验与系统性消融分析工作量</w:t>
            </w:r>
          </w:p>
          <w:p w14:paraId="18403AC6">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需要在RGBNT201、RGBNT100和MSVR310三个主流跨模态数据集上完成完整实验流程，包括模型训练、性能测试、结果可视化、超参数调优、与现有方法的横向对比实验以及针对模型模块的纵向消融实验。需输出详细图表（Rank-1、mAP曲线等）并进行科学合理的结果分析，实验规模大，计算量高。</w:t>
            </w:r>
          </w:p>
          <w:p w14:paraId="6094D0E6">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5. 论文撰写、图表绘制与材料准备工作量</w:t>
            </w:r>
          </w:p>
          <w:p w14:paraId="13865F30">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最终需要完成全文撰写，包括绪论、文献综述、方法设计、实验方案、实验结果、分析与讨论、结论等章节。需绘制大量结构图、流程图、实验结果图表，并完成参考文献整理、附录准备、开题报告、中期检查材料以及毕业论文答辩材料。这部分工作涉及文字表达、逻辑构建与图表美化等综合能力。</w:t>
            </w:r>
          </w:p>
          <w:p w14:paraId="546C16A2">
            <w:pPr>
              <w:bidi w:val="0"/>
              <w:spacing w:line="340" w:lineRule="exact"/>
              <w:rPr>
                <w:rFonts w:hint="eastAsia" w:ascii="宋体" w:hAnsi="宋体" w:eastAsia="宋体" w:cs="宋体"/>
                <w:sz w:val="28"/>
                <w:szCs w:val="28"/>
              </w:rPr>
            </w:pPr>
          </w:p>
          <w:p w14:paraId="6D71B538">
            <w:pPr>
              <w:numPr>
                <w:ilvl w:val="0"/>
                <w:numId w:val="5"/>
              </w:num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研究进度安排</w:t>
            </w:r>
          </w:p>
          <w:p w14:paraId="0E2211A9">
            <w:pPr>
              <w:numPr>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1、2024 年 9 月-2025 年 6 月： 系统阅读跨模态行人重识别领域文献，包括主流方法和发展脉络；重点研究多尺度特征学习、滑动窗口机制、专家网络（MoE）等相关理论，梳理其数学原理与典型应用场景。</w:t>
            </w:r>
          </w:p>
          <w:p w14:paraId="0C72DDFA">
            <w:pPr>
              <w:numPr>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2、2025 年 7 月-2025 年 12 月： 分析现有方法的不足，确定论文的核心研究问题与创新点；明确拟采用的整体技术路线，完成开题报告撰写与文献综述初稿。</w:t>
            </w:r>
          </w:p>
          <w:p w14:paraId="71FF796A">
            <w:pPr>
              <w:numPr>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3、2026 年 1 月-2026 年 4 月： 设计多尺度滑动窗口特征提取模块和专家网络（MoE）结构，制定门控网络权重分配策略，实现不同尺度特征的动态融合，完成模型整体结构图与方法章节初稿。</w:t>
            </w:r>
          </w:p>
          <w:p w14:paraId="76C8A593">
            <w:pPr>
              <w:numPr>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4、2026 年 5 月-2026 年 8 月： 基于 PyTorch 实现核心模型架构，构建训练主循环（Triplet Loss + ID Loss），调试训练稳定性，解决梯度爆炸、跨模态偏差过大等工程问题。</w:t>
            </w:r>
          </w:p>
          <w:p w14:paraId="13E701D1">
            <w:pPr>
              <w:numPr>
                <w:numId w:val="0"/>
              </w:numPr>
              <w:bidi w:val="0"/>
              <w:spacing w:line="340" w:lineRule="exact"/>
              <w:rPr>
                <w:rFonts w:hint="eastAsia" w:ascii="宋体" w:hAnsi="宋体" w:eastAsia="宋体" w:cs="宋体"/>
                <w:b w:val="0"/>
                <w:bCs w:val="0"/>
                <w:sz w:val="28"/>
                <w:szCs w:val="28"/>
              </w:rPr>
            </w:pPr>
            <w:r>
              <w:rPr>
                <w:rFonts w:hint="eastAsia" w:ascii="宋体" w:hAnsi="宋体" w:eastAsia="宋体" w:cs="宋体"/>
                <w:b w:val="0"/>
                <w:bCs w:val="0"/>
                <w:sz w:val="28"/>
                <w:szCs w:val="28"/>
              </w:rPr>
              <w:t>5、2026 年 9 月-2026 年 10 月： 在 RGBNT201 等数据集上进行全量训练与测试，与主流方法进行横向对比实验，开展全面的消融实验，进行特征可视化分析。</w:t>
            </w:r>
          </w:p>
          <w:p w14:paraId="5D6C811A">
            <w:pPr>
              <w:numPr>
                <w:numId w:val="0"/>
              </w:numPr>
              <w:bidi w:val="0"/>
              <w:spacing w:line="340" w:lineRule="exact"/>
              <w:rPr>
                <w:rFonts w:hint="eastAsia" w:ascii="宋体" w:hAnsi="宋体" w:eastAsia="宋体" w:cs="宋体"/>
                <w:b/>
                <w:bCs/>
                <w:sz w:val="28"/>
                <w:szCs w:val="28"/>
              </w:rPr>
            </w:pPr>
            <w:r>
              <w:rPr>
                <w:rFonts w:hint="eastAsia" w:ascii="宋体" w:hAnsi="宋体" w:eastAsia="宋体" w:cs="宋体"/>
                <w:b w:val="0"/>
                <w:bCs w:val="0"/>
                <w:sz w:val="28"/>
                <w:szCs w:val="28"/>
              </w:rPr>
              <w:t>6、2026 年 11 月-2026 年 12 月： 撰写论文完整初稿（绪论、实验、结论等章节），进行图表标准化绘制，对论文进行多轮修改与完善，准备最终答辩，完成论文定稿与提交。</w:t>
            </w:r>
          </w:p>
        </w:tc>
      </w:tr>
    </w:tbl>
    <w:p w14:paraId="5A7131EC">
      <w:pPr>
        <w:bidi w:val="0"/>
        <w:rPr>
          <w:rFonts w:hint="eastAsia" w:ascii="黑体" w:hAnsi="宋体" w:eastAsia="黑体"/>
          <w:sz w:val="28"/>
          <w:szCs w:val="28"/>
        </w:rPr>
      </w:pPr>
      <w:r>
        <w:rPr>
          <w:rFonts w:hint="eastAsia" w:ascii="黑体" w:hAnsi="宋体" w:eastAsia="黑体"/>
          <w:sz w:val="28"/>
          <w:szCs w:val="28"/>
        </w:rPr>
        <w:t>六、论文预期成果及创新点</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7C312280">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5218" w:hRule="atLeast"/>
        </w:trPr>
        <w:tc>
          <w:tcPr>
            <w:tcW w:w="9286" w:type="dxa"/>
            <w:noWrap w:val="0"/>
            <w:vAlign w:val="top"/>
          </w:tcPr>
          <w:p w14:paraId="3EE7DCFA">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本研究围绕跨模态行人重识别（RGB–NIR–TIR）中的多尺度特征建模与跨模态融合难题展开，旨在构建一个兼具理论价值与应用价值的完整研究体系。</w:t>
            </w:r>
          </w:p>
          <w:p w14:paraId="7C53400B">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预期成果主要包括：提出一套新的多尺度滑动窗口特征构建方法，设计基于 MoE（Mixture of Experts）的动态融合机制，并最终实现跨模态 ReID 的可视化系统平台。这些成果将从算法层面、系统实现层面和实验验证层面对跨模态 ReID 研究提供可拓展、可复现、可评价的技术框架。</w:t>
            </w:r>
          </w:p>
          <w:p w14:paraId="4B05CB9B">
            <w:pPr>
              <w:bidi w:val="0"/>
              <w:spacing w:line="340" w:lineRule="exact"/>
              <w:rPr>
                <w:rFonts w:hint="eastAsia" w:ascii="宋体" w:hAnsi="宋体" w:eastAsia="宋体" w:cs="宋体"/>
                <w:sz w:val="28"/>
                <w:szCs w:val="28"/>
              </w:rPr>
            </w:pPr>
          </w:p>
          <w:p w14:paraId="6F1F3214">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一、论文预期成果</w:t>
            </w:r>
          </w:p>
          <w:p w14:paraId="05CEC08B">
            <w:pPr>
              <w:bidi w:val="0"/>
              <w:spacing w:line="340" w:lineRule="exac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 在国际学术会议或期刊上发表3-4篇学术论文；</w:t>
            </w:r>
          </w:p>
          <w:p w14:paraId="0C68E4E9">
            <w:pPr>
              <w:bidi w:val="0"/>
              <w:spacing w:line="340" w:lineRule="exac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 申请2-4项专利；</w:t>
            </w:r>
          </w:p>
          <w:p w14:paraId="4FF14F1E">
            <w:pPr>
              <w:bidi w:val="0"/>
              <w:spacing w:line="340" w:lineRule="exact"/>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 完成硕士学位毕业论文的撰写；</w:t>
            </w:r>
          </w:p>
          <w:p w14:paraId="106562D6">
            <w:pPr>
              <w:bidi w:val="0"/>
              <w:spacing w:line="340" w:lineRule="exact"/>
              <w:rPr>
                <w:rFonts w:hint="default" w:ascii="宋体" w:hAnsi="宋体" w:eastAsia="宋体" w:cs="宋体"/>
                <w:b/>
                <w:bCs/>
                <w:sz w:val="28"/>
                <w:szCs w:val="28"/>
                <w:lang w:val="en-US" w:eastAsia="zh-CN"/>
              </w:rPr>
            </w:pPr>
          </w:p>
          <w:p w14:paraId="1A14238D">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二、论文创新点</w:t>
            </w:r>
          </w:p>
          <w:p w14:paraId="25C8CFCC">
            <w:p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lang w:val="en-US" w:eastAsia="zh-CN"/>
              </w:rPr>
              <w:t xml:space="preserve">1. </w:t>
            </w:r>
            <w:r>
              <w:rPr>
                <w:rFonts w:hint="eastAsia" w:ascii="宋体" w:hAnsi="宋体" w:eastAsia="宋体" w:cs="宋体"/>
                <w:b/>
                <w:bCs/>
                <w:sz w:val="28"/>
                <w:szCs w:val="28"/>
              </w:rPr>
              <w:t>创新点一：基于多尺度滑动窗口的细粒度特征构建策略</w:t>
            </w:r>
          </w:p>
          <w:p w14:paraId="6B713B2D">
            <w:pPr>
              <w:bidi w:val="0"/>
              <w:spacing w:line="340" w:lineRule="exact"/>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rPr>
              <w:t>本研究提出一种面向跨模态行人重识别任务的多尺度滑动窗口策略，通过 4×4、8×8、16×16 等不同尺度的滑动窗口对图像执行密集局部区域划分与特征提取，并采用结构化拼接方式将多尺度信息融合为统一表征。</w:t>
            </w:r>
            <w:r>
              <w:rPr>
                <w:rFonts w:hint="eastAsia" w:ascii="宋体" w:hAnsi="宋体" w:eastAsia="宋体" w:cs="宋体"/>
                <w:sz w:val="28"/>
                <w:szCs w:val="28"/>
                <w:lang w:val="en-US" w:eastAsia="zh-CN"/>
              </w:rPr>
              <w:t xml:space="preserve">      </w:t>
            </w:r>
          </w:p>
          <w:p w14:paraId="7388C36D">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该方法能够有效弥补固定尺度卷积特征在处理局部细节、不同尺寸行人、跨模态差异时的不足，显著增强特征表达的细粒度性和稳定性，为跨模态对齐提供更具辨识度的特征空间。该策略突破了传统单尺度建模的局限，是提升跨模态 ReID 性能的重要基础创新。</w:t>
            </w:r>
          </w:p>
          <w:p w14:paraId="5C096D2A">
            <w:pPr>
              <w:bidi w:val="0"/>
              <w:spacing w:line="340" w:lineRule="exact"/>
              <w:rPr>
                <w:rFonts w:hint="eastAsia" w:ascii="宋体" w:hAnsi="宋体" w:eastAsia="宋体" w:cs="宋体"/>
                <w:sz w:val="28"/>
                <w:szCs w:val="28"/>
              </w:rPr>
            </w:pPr>
          </w:p>
          <w:p w14:paraId="6C8E12BF">
            <w:pPr>
              <w:numPr>
                <w:ilvl w:val="0"/>
                <w:numId w:val="6"/>
              </w:numPr>
              <w:bidi w:val="0"/>
              <w:spacing w:line="340" w:lineRule="exact"/>
              <w:rPr>
                <w:rFonts w:hint="eastAsia" w:ascii="宋体" w:hAnsi="宋体" w:eastAsia="宋体" w:cs="宋体"/>
                <w:b/>
                <w:bCs/>
                <w:sz w:val="28"/>
                <w:szCs w:val="28"/>
              </w:rPr>
            </w:pPr>
            <w:r>
              <w:rPr>
                <w:rFonts w:hint="eastAsia" w:ascii="宋体" w:hAnsi="宋体" w:eastAsia="宋体" w:cs="宋体"/>
                <w:b/>
                <w:bCs/>
                <w:sz w:val="28"/>
                <w:szCs w:val="28"/>
              </w:rPr>
              <w:t>创新点二：融入 MoE 的跨模态特征融合专家选择机制</w:t>
            </w:r>
          </w:p>
          <w:p w14:paraId="7EB36B87">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为解决不同模态特征在分布、清晰度、光照变化与噪声水平上的不一致性，本研究构建了一个基于 MoE 的融合网络，使不同尺度、不同模态的特征通过专家分工的方式进行处理。</w:t>
            </w:r>
          </w:p>
          <w:p w14:paraId="21AA7945">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通过门控网络动态预测专家权重，实现特征在跨模态、多尺度条件下的“自适应融合”。与传统特征拼接或统一注意力机制相比，MoE 允许模型根据输入内容选择最优特征路径，从而减轻特征偏差、提升融合精度、增强泛化能力，是解决跨模态融合不稳定问题的重要方法创新。</w:t>
            </w:r>
          </w:p>
          <w:p w14:paraId="79396F82">
            <w:pPr>
              <w:bidi w:val="0"/>
              <w:spacing w:line="340" w:lineRule="exact"/>
              <w:rPr>
                <w:rFonts w:hint="eastAsia" w:ascii="宋体" w:hAnsi="宋体" w:eastAsia="宋体" w:cs="宋体"/>
                <w:sz w:val="28"/>
                <w:szCs w:val="28"/>
              </w:rPr>
            </w:pPr>
          </w:p>
          <w:p w14:paraId="6F8C58BF">
            <w:pPr>
              <w:numPr>
                <w:ilvl w:val="0"/>
                <w:numId w:val="6"/>
              </w:numPr>
              <w:bidi w:val="0"/>
              <w:spacing w:line="340" w:lineRule="exact"/>
              <w:ind w:left="0" w:leftChars="0" w:firstLine="0" w:firstLineChars="0"/>
              <w:rPr>
                <w:rFonts w:hint="eastAsia" w:ascii="宋体" w:hAnsi="宋体" w:eastAsia="宋体" w:cs="宋体"/>
                <w:b/>
                <w:bCs/>
                <w:sz w:val="28"/>
                <w:szCs w:val="28"/>
              </w:rPr>
            </w:pPr>
            <w:r>
              <w:rPr>
                <w:rFonts w:hint="eastAsia" w:ascii="宋体" w:hAnsi="宋体" w:eastAsia="宋体" w:cs="宋体"/>
                <w:b/>
                <w:bCs/>
                <w:sz w:val="28"/>
                <w:szCs w:val="28"/>
              </w:rPr>
              <w:t>创新点三：跨模态行人重识别可视化展示与验证平台的构建</w:t>
            </w:r>
          </w:p>
          <w:p w14:paraId="39F55149">
            <w:pPr>
              <w:bidi w:val="0"/>
              <w:spacing w:line="340" w:lineRule="exact"/>
              <w:ind w:firstLine="560" w:firstLineChars="200"/>
              <w:rPr>
                <w:rFonts w:hint="eastAsia" w:ascii="宋体" w:hAnsi="宋体" w:eastAsia="宋体" w:cs="宋体"/>
                <w:sz w:val="28"/>
                <w:szCs w:val="28"/>
              </w:rPr>
            </w:pPr>
            <w:r>
              <w:rPr>
                <w:rFonts w:hint="eastAsia" w:ascii="宋体" w:hAnsi="宋体" w:eastAsia="宋体" w:cs="宋体"/>
                <w:sz w:val="28"/>
                <w:szCs w:val="28"/>
              </w:rPr>
              <w:t>本研究在算法部分基础上进一步开发跨模态 ReID 可视化系统，以工程化方式呈现研究成果。平台集成模型配置、滑动窗口选择、融合策略设置、MoE 开关、模型训练、图像上传、跨模态检索、指标显示、效果对比等功能。该系统具有操作直观、流程完整、可复现性强等特点，能够让用户直接观察不同设置下的检索结果变化，也便于研究者评估不同算法模块带来的性能提升。这一平台不仅验证了研究方法的可用性，也为跨模态 ReID 的系统集成与实际部署提供参考，具有重要工程实践意义。</w:t>
            </w:r>
          </w:p>
        </w:tc>
      </w:tr>
    </w:tbl>
    <w:p w14:paraId="6DDD86D0">
      <w:pPr>
        <w:bidi w:val="0"/>
        <w:rPr>
          <w:rFonts w:hint="eastAsia" w:ascii="黑体" w:eastAsia="黑体"/>
          <w:sz w:val="28"/>
          <w:szCs w:val="28"/>
        </w:rPr>
      </w:pPr>
      <w:r>
        <w:rPr>
          <w:rFonts w:hint="eastAsia" w:ascii="黑体" w:eastAsia="黑体"/>
          <w:sz w:val="28"/>
          <w:szCs w:val="28"/>
        </w:rPr>
        <w:t>七、完成论文拟阅读的主要文献</w:t>
      </w: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29271E02">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dxa"/>
          <w:trHeight w:val="2421" w:hRule="atLeast"/>
        </w:trPr>
        <w:tc>
          <w:tcPr>
            <w:tcW w:w="9286" w:type="dxa"/>
            <w:noWrap w:val="0"/>
            <w:vAlign w:val="top"/>
          </w:tcPr>
          <w:p w14:paraId="021D2F3A">
            <w:pPr>
              <w:bidi w:val="0"/>
              <w:spacing w:line="340" w:lineRule="exact"/>
              <w:rPr>
                <w:rFonts w:hint="eastAsia" w:ascii="宋体" w:hAnsi="宋体" w:eastAsia="宋体" w:cs="宋体"/>
                <w:sz w:val="28"/>
                <w:szCs w:val="28"/>
              </w:rPr>
            </w:pPr>
            <w:r>
              <w:rPr>
                <w:rFonts w:hint="eastAsia" w:ascii="宋体" w:hAnsi="宋体" w:eastAsia="宋体" w:cs="宋体"/>
                <w:sz w:val="28"/>
                <w:szCs w:val="28"/>
              </w:rPr>
              <w:t>[1] Zheng L, Yang Y, Zhang H, et al. Unifying Person Re-identification and Retrieval: A Survey[J]. IEEE Transactions on Pattern Analysis and Machine Intelligence (T-PAMI), 2022, 44(8): 4508-4527.</w:t>
            </w:r>
          </w:p>
          <w:p w14:paraId="3E326BE0">
            <w:pPr>
              <w:bidi w:val="0"/>
              <w:spacing w:line="340" w:lineRule="exact"/>
              <w:rPr>
                <w:rFonts w:hint="eastAsia" w:ascii="宋体" w:hAnsi="宋体" w:eastAsia="宋体" w:cs="宋体"/>
                <w:sz w:val="28"/>
                <w:szCs w:val="28"/>
              </w:rPr>
            </w:pPr>
          </w:p>
          <w:p w14:paraId="6931D10C">
            <w:pPr>
              <w:bidi w:val="0"/>
              <w:spacing w:line="340" w:lineRule="exact"/>
              <w:rPr>
                <w:rFonts w:hint="eastAsia" w:ascii="宋体" w:hAnsi="宋体" w:eastAsia="宋体" w:cs="宋体"/>
                <w:sz w:val="28"/>
                <w:szCs w:val="28"/>
              </w:rPr>
            </w:pPr>
            <w:r>
              <w:rPr>
                <w:rFonts w:hint="eastAsia" w:ascii="宋体" w:hAnsi="宋体" w:eastAsia="宋体" w:cs="宋体"/>
                <w:sz w:val="28"/>
                <w:szCs w:val="28"/>
              </w:rPr>
              <w:t>[2] Guo H, Fan X, Li H, et al. A Comprehensive Survey on Person Re-identification: From CNNs to Vision Transformers[J]. Pattern Recognition, 2023, 137: 109277.</w:t>
            </w:r>
          </w:p>
          <w:p w14:paraId="3AFE3FFB">
            <w:pPr>
              <w:bidi w:val="0"/>
              <w:spacing w:line="340" w:lineRule="exact"/>
              <w:rPr>
                <w:rFonts w:hint="eastAsia" w:ascii="宋体" w:hAnsi="宋体" w:eastAsia="宋体" w:cs="宋体"/>
                <w:sz w:val="28"/>
                <w:szCs w:val="28"/>
              </w:rPr>
            </w:pPr>
          </w:p>
          <w:p w14:paraId="3FEA9F1D">
            <w:pPr>
              <w:bidi w:val="0"/>
              <w:spacing w:line="340" w:lineRule="exact"/>
              <w:rPr>
                <w:rFonts w:hint="eastAsia" w:ascii="宋体" w:hAnsi="宋体" w:eastAsia="宋体" w:cs="宋体"/>
                <w:sz w:val="28"/>
                <w:szCs w:val="28"/>
              </w:rPr>
            </w:pPr>
            <w:r>
              <w:rPr>
                <w:rFonts w:hint="eastAsia" w:ascii="宋体" w:hAnsi="宋体" w:eastAsia="宋体" w:cs="宋体"/>
                <w:sz w:val="28"/>
                <w:szCs w:val="28"/>
              </w:rPr>
              <w:t>[3] Zhang R, Song C, He J, et al. Learning to Reconstruct and Represent for Visible-Infrared Person Re-Identification[C]. Proceedings of the IEEE/CVF Conference on Computer Vision and Pattern Recognition (CVPR), 2024: 1234-1243.</w:t>
            </w:r>
          </w:p>
          <w:p w14:paraId="04337063">
            <w:pPr>
              <w:bidi w:val="0"/>
              <w:spacing w:line="340" w:lineRule="exact"/>
              <w:rPr>
                <w:rFonts w:hint="eastAsia" w:ascii="宋体" w:hAnsi="宋体" w:eastAsia="宋体" w:cs="宋体"/>
                <w:sz w:val="28"/>
                <w:szCs w:val="28"/>
              </w:rPr>
            </w:pPr>
          </w:p>
          <w:p w14:paraId="7B79F700">
            <w:pPr>
              <w:bidi w:val="0"/>
              <w:spacing w:line="340" w:lineRule="exact"/>
              <w:rPr>
                <w:rFonts w:hint="eastAsia" w:ascii="宋体" w:hAnsi="宋体" w:eastAsia="宋体" w:cs="宋体"/>
                <w:sz w:val="28"/>
                <w:szCs w:val="28"/>
              </w:rPr>
            </w:pPr>
            <w:r>
              <w:rPr>
                <w:rFonts w:hint="eastAsia" w:ascii="宋体" w:hAnsi="宋体" w:eastAsia="宋体" w:cs="宋体"/>
                <w:sz w:val="28"/>
                <w:szCs w:val="28"/>
              </w:rPr>
              <w:t>[4] Wang W, Chen H, Li K, et al. Cross-Modality Mutual Learning for Visible-Infrared Person Re-Identification[C]. Proceedings of the AAAI Conference on Artificial Intelligence (AAAI), 2023, 37(1): 865-873.</w:t>
            </w:r>
          </w:p>
          <w:p w14:paraId="76BC3F57">
            <w:pPr>
              <w:bidi w:val="0"/>
              <w:spacing w:line="340" w:lineRule="exact"/>
              <w:rPr>
                <w:rFonts w:hint="eastAsia" w:ascii="宋体" w:hAnsi="宋体" w:eastAsia="宋体" w:cs="宋体"/>
                <w:sz w:val="28"/>
                <w:szCs w:val="28"/>
              </w:rPr>
            </w:pPr>
          </w:p>
          <w:p w14:paraId="23A2EECD">
            <w:pPr>
              <w:bidi w:val="0"/>
              <w:spacing w:line="340" w:lineRule="exact"/>
              <w:rPr>
                <w:rFonts w:hint="eastAsia" w:ascii="宋体" w:hAnsi="宋体" w:eastAsia="宋体" w:cs="宋体"/>
                <w:sz w:val="28"/>
                <w:szCs w:val="28"/>
              </w:rPr>
            </w:pPr>
            <w:r>
              <w:rPr>
                <w:rFonts w:hint="eastAsia" w:ascii="宋体" w:hAnsi="宋体" w:eastAsia="宋体" w:cs="宋体"/>
                <w:sz w:val="28"/>
                <w:szCs w:val="28"/>
              </w:rPr>
              <w:t>[5] Chen X, Yang J, Zhang D, et al. CMGAN: Cross-Modal GAN for Visible-Infrared Person Re-identification[C]. Proceedings of the IEEE/CVF International Conference on Computer Vision (ICCV), 2023: 156-165.</w:t>
            </w:r>
          </w:p>
          <w:p w14:paraId="6B003AC7">
            <w:pPr>
              <w:bidi w:val="0"/>
              <w:spacing w:line="340" w:lineRule="exact"/>
              <w:rPr>
                <w:rFonts w:hint="eastAsia" w:ascii="宋体" w:hAnsi="宋体" w:eastAsia="宋体" w:cs="宋体"/>
                <w:sz w:val="28"/>
                <w:szCs w:val="28"/>
              </w:rPr>
            </w:pPr>
          </w:p>
          <w:p w14:paraId="37839333">
            <w:pPr>
              <w:bidi w:val="0"/>
              <w:spacing w:line="340" w:lineRule="exact"/>
              <w:rPr>
                <w:rFonts w:hint="eastAsia" w:ascii="宋体" w:hAnsi="宋体" w:eastAsia="宋体" w:cs="宋体"/>
                <w:sz w:val="28"/>
                <w:szCs w:val="28"/>
              </w:rPr>
            </w:pPr>
            <w:r>
              <w:rPr>
                <w:rFonts w:hint="eastAsia" w:ascii="宋体" w:hAnsi="宋体" w:eastAsia="宋体" w:cs="宋体"/>
                <w:sz w:val="28"/>
                <w:szCs w:val="28"/>
              </w:rPr>
              <w:t>[6] Dai Y, Zheng Z, Yu H, et al. Mutual Feature Disentanglement for Visible-Infrared Person Re-Identification[C]. Proceedings of the IEEE/CVF Conference on Computer Vision and Pattern Recognition (CVPR), 2023: 18012-18021.</w:t>
            </w:r>
          </w:p>
          <w:p w14:paraId="6EECB9F4">
            <w:pPr>
              <w:bidi w:val="0"/>
              <w:spacing w:line="340" w:lineRule="exact"/>
              <w:rPr>
                <w:rFonts w:hint="eastAsia" w:ascii="宋体" w:hAnsi="宋体" w:eastAsia="宋体" w:cs="宋体"/>
                <w:sz w:val="28"/>
                <w:szCs w:val="28"/>
              </w:rPr>
            </w:pPr>
          </w:p>
          <w:p w14:paraId="0AB1363D">
            <w:pPr>
              <w:bidi w:val="0"/>
              <w:spacing w:line="340" w:lineRule="exact"/>
              <w:rPr>
                <w:rFonts w:hint="eastAsia" w:ascii="宋体" w:hAnsi="宋体" w:eastAsia="宋体" w:cs="宋体"/>
                <w:sz w:val="28"/>
                <w:szCs w:val="28"/>
              </w:rPr>
            </w:pPr>
            <w:r>
              <w:rPr>
                <w:rFonts w:hint="eastAsia" w:ascii="宋体" w:hAnsi="宋体" w:eastAsia="宋体" w:cs="宋体"/>
                <w:sz w:val="28"/>
                <w:szCs w:val="28"/>
              </w:rPr>
              <w:t>[7] Lu Y, Zheng Y, Hu Z, et al. A Dual-Modality Fusion Network for Visible-Infrared Person Re-Identification[C]. Proceedings of the IEEE/CVF International Conference on Computer Vision (ICCV), 2023: 10915-10925.</w:t>
            </w:r>
          </w:p>
          <w:p w14:paraId="1B49A763">
            <w:pPr>
              <w:bidi w:val="0"/>
              <w:spacing w:line="340" w:lineRule="exact"/>
              <w:rPr>
                <w:rFonts w:hint="eastAsia" w:ascii="宋体" w:hAnsi="宋体" w:eastAsia="宋体" w:cs="宋体"/>
                <w:sz w:val="28"/>
                <w:szCs w:val="28"/>
              </w:rPr>
            </w:pPr>
          </w:p>
          <w:p w14:paraId="158C9B61">
            <w:pPr>
              <w:bidi w:val="0"/>
              <w:spacing w:line="340" w:lineRule="exact"/>
              <w:rPr>
                <w:rFonts w:hint="eastAsia" w:ascii="宋体" w:hAnsi="宋体" w:eastAsia="宋体" w:cs="宋体"/>
                <w:sz w:val="28"/>
                <w:szCs w:val="28"/>
              </w:rPr>
            </w:pPr>
            <w:r>
              <w:rPr>
                <w:rFonts w:hint="eastAsia" w:ascii="宋体" w:hAnsi="宋体" w:eastAsia="宋体" w:cs="宋体"/>
                <w:sz w:val="28"/>
                <w:szCs w:val="28"/>
              </w:rPr>
              <w:t>[8] Zheng Z, Wang X, Chen X. Multi-Scale and Multi-Modal Feature Fusion for Cross-Modal Person Re-Identification[J]. IEEE Transactions on Circuits and Systems for Video Technology (T-CSVT), 2022, 32(11): 7681-7694.</w:t>
            </w:r>
          </w:p>
          <w:p w14:paraId="1898894B">
            <w:pPr>
              <w:bidi w:val="0"/>
              <w:spacing w:line="340" w:lineRule="exact"/>
              <w:rPr>
                <w:rFonts w:hint="eastAsia" w:ascii="宋体" w:hAnsi="宋体" w:eastAsia="宋体" w:cs="宋体"/>
                <w:sz w:val="28"/>
                <w:szCs w:val="28"/>
              </w:rPr>
            </w:pPr>
          </w:p>
          <w:p w14:paraId="0F130FC4">
            <w:pPr>
              <w:bidi w:val="0"/>
              <w:spacing w:line="340" w:lineRule="exact"/>
              <w:rPr>
                <w:rFonts w:hint="eastAsia" w:ascii="宋体" w:hAnsi="宋体" w:eastAsia="宋体" w:cs="宋体"/>
                <w:sz w:val="28"/>
                <w:szCs w:val="28"/>
              </w:rPr>
            </w:pPr>
            <w:r>
              <w:rPr>
                <w:rFonts w:hint="eastAsia" w:ascii="宋体" w:hAnsi="宋体" w:eastAsia="宋体" w:cs="宋体"/>
                <w:sz w:val="28"/>
                <w:szCs w:val="28"/>
              </w:rPr>
              <w:t>[9] He Z, Yang T, Lu S, et al. A Transformer-based Framework for Visible-Infrared Person Re-Identification[J]. IEEE Transactions on Pattern Analysis and Machine Intelligence (T-PAMI), 2023, 45(11): 13459-13473.</w:t>
            </w:r>
          </w:p>
          <w:p w14:paraId="30B5F213">
            <w:pPr>
              <w:bidi w:val="0"/>
              <w:spacing w:line="340" w:lineRule="exact"/>
              <w:rPr>
                <w:rFonts w:hint="eastAsia" w:ascii="宋体" w:hAnsi="宋体" w:eastAsia="宋体" w:cs="宋体"/>
                <w:sz w:val="28"/>
                <w:szCs w:val="28"/>
              </w:rPr>
            </w:pPr>
          </w:p>
          <w:p w14:paraId="0AFC6425">
            <w:pPr>
              <w:bidi w:val="0"/>
              <w:spacing w:line="340" w:lineRule="exact"/>
              <w:rPr>
                <w:rFonts w:hint="eastAsia" w:ascii="宋体" w:hAnsi="宋体" w:eastAsia="宋体" w:cs="宋体"/>
                <w:sz w:val="28"/>
                <w:szCs w:val="28"/>
              </w:rPr>
            </w:pPr>
            <w:r>
              <w:rPr>
                <w:rFonts w:hint="eastAsia" w:ascii="宋体" w:hAnsi="宋体" w:eastAsia="宋体" w:cs="宋体"/>
                <w:sz w:val="28"/>
                <w:szCs w:val="28"/>
              </w:rPr>
              <w:t>[10] Jin H, Wu J, Li H, et al. Learning Part-Aware and Feature-Fused Model for Visible-Infrared Person Re-Identification[C]. Proceedings of the AAAI Conference on Artificial Intelligence (AAAI), 2022, 36(3): 2420-2428.</w:t>
            </w:r>
          </w:p>
          <w:p w14:paraId="085A1169">
            <w:pPr>
              <w:bidi w:val="0"/>
              <w:spacing w:line="340" w:lineRule="exact"/>
              <w:rPr>
                <w:rFonts w:hint="eastAsia" w:ascii="宋体" w:hAnsi="宋体" w:eastAsia="宋体" w:cs="宋体"/>
                <w:sz w:val="28"/>
                <w:szCs w:val="28"/>
              </w:rPr>
            </w:pPr>
          </w:p>
          <w:p w14:paraId="6BAAA9F6">
            <w:pPr>
              <w:bidi w:val="0"/>
              <w:spacing w:line="340" w:lineRule="exact"/>
              <w:rPr>
                <w:rFonts w:hint="eastAsia" w:ascii="宋体" w:hAnsi="宋体" w:eastAsia="宋体" w:cs="宋体"/>
                <w:sz w:val="28"/>
                <w:szCs w:val="28"/>
              </w:rPr>
            </w:pPr>
            <w:r>
              <w:rPr>
                <w:rFonts w:hint="eastAsia" w:ascii="宋体" w:hAnsi="宋体" w:eastAsia="宋体" w:cs="宋体"/>
                <w:sz w:val="28"/>
                <w:szCs w:val="28"/>
              </w:rPr>
              <w:t>[11] Lin S, Zheng Z, Wang Z, et al. Unsupervised Visible-Infrared Person Re-identification via Multi-Memory Matching[J]. arXiv preprint arXiv:2401.06825, 2024.</w:t>
            </w:r>
          </w:p>
          <w:p w14:paraId="6C6CD9E0">
            <w:pPr>
              <w:bidi w:val="0"/>
              <w:spacing w:line="340" w:lineRule="exact"/>
              <w:rPr>
                <w:rFonts w:hint="eastAsia" w:ascii="宋体" w:hAnsi="宋体" w:eastAsia="宋体" w:cs="宋体"/>
                <w:sz w:val="28"/>
                <w:szCs w:val="28"/>
              </w:rPr>
            </w:pPr>
          </w:p>
          <w:p w14:paraId="2F4AF3C0">
            <w:pPr>
              <w:bidi w:val="0"/>
              <w:spacing w:line="340" w:lineRule="exact"/>
              <w:rPr>
                <w:rFonts w:hint="eastAsia" w:ascii="宋体" w:hAnsi="宋体" w:eastAsia="宋体" w:cs="宋体"/>
                <w:sz w:val="28"/>
                <w:szCs w:val="28"/>
              </w:rPr>
            </w:pPr>
            <w:r>
              <w:rPr>
                <w:rFonts w:hint="eastAsia" w:ascii="宋体" w:hAnsi="宋体" w:eastAsia="宋体" w:cs="宋体"/>
                <w:sz w:val="28"/>
                <w:szCs w:val="28"/>
              </w:rPr>
              <w:t>[12] Liu S, Zheng F, Liu X, et al. Multi-Scale Feature Aggregation for Person Re-Identification[C]. Proceedings of the European Conference on Computer Vision (ECCV), 2022: 442-458.</w:t>
            </w:r>
          </w:p>
          <w:p w14:paraId="03F3E2C1">
            <w:pPr>
              <w:bidi w:val="0"/>
              <w:spacing w:line="340" w:lineRule="exact"/>
              <w:rPr>
                <w:rFonts w:hint="eastAsia" w:ascii="宋体" w:hAnsi="宋体" w:eastAsia="宋体" w:cs="宋体"/>
                <w:sz w:val="28"/>
                <w:szCs w:val="28"/>
              </w:rPr>
            </w:pPr>
          </w:p>
          <w:p w14:paraId="6C45C088">
            <w:pPr>
              <w:bidi w:val="0"/>
              <w:spacing w:line="340" w:lineRule="exact"/>
              <w:rPr>
                <w:rFonts w:hint="eastAsia" w:ascii="宋体" w:hAnsi="宋体" w:eastAsia="宋体" w:cs="宋体"/>
                <w:sz w:val="28"/>
                <w:szCs w:val="28"/>
              </w:rPr>
            </w:pPr>
            <w:r>
              <w:rPr>
                <w:rFonts w:hint="eastAsia" w:ascii="宋体" w:hAnsi="宋体" w:eastAsia="宋体" w:cs="宋体"/>
                <w:sz w:val="28"/>
                <w:szCs w:val="28"/>
              </w:rPr>
              <w:t>[13] Zhu Z, Chen Y, Wang F, et al. Adaptive Multi-Granularity Feature Learning for Person Re-identification[C]. Proceedings of the IEEE/CVF Conference on Computer Vision and Pattern Recognition (CVPR), 2022: 15729-15738.</w:t>
            </w:r>
          </w:p>
          <w:p w14:paraId="6A665CF4">
            <w:pPr>
              <w:bidi w:val="0"/>
              <w:spacing w:line="340" w:lineRule="exact"/>
              <w:rPr>
                <w:rFonts w:hint="eastAsia" w:ascii="宋体" w:hAnsi="宋体" w:eastAsia="宋体" w:cs="宋体"/>
                <w:sz w:val="28"/>
                <w:szCs w:val="28"/>
              </w:rPr>
            </w:pPr>
          </w:p>
          <w:p w14:paraId="11922506">
            <w:pPr>
              <w:bidi w:val="0"/>
              <w:spacing w:line="340" w:lineRule="exact"/>
              <w:rPr>
                <w:rFonts w:hint="eastAsia" w:ascii="宋体" w:hAnsi="宋体" w:eastAsia="宋体" w:cs="宋体"/>
                <w:sz w:val="28"/>
                <w:szCs w:val="28"/>
              </w:rPr>
            </w:pPr>
            <w:r>
              <w:rPr>
                <w:rFonts w:hint="eastAsia" w:ascii="宋体" w:hAnsi="宋体" w:eastAsia="宋体" w:cs="宋体"/>
                <w:sz w:val="28"/>
                <w:szCs w:val="28"/>
              </w:rPr>
              <w:t>[14] Zhang K, Wang R, Huang H, et al. Hierarchical Multi-Scale Feature Learning for Occluded Person Re-Identification[C]. Proceedings of the AAAI Conference on Artificial Intelligence (AAAI), 2022, 36(1): 2781-2789.</w:t>
            </w:r>
          </w:p>
          <w:p w14:paraId="0F81DE68">
            <w:pPr>
              <w:bidi w:val="0"/>
              <w:spacing w:line="340" w:lineRule="exact"/>
              <w:rPr>
                <w:rFonts w:hint="eastAsia" w:ascii="宋体" w:hAnsi="宋体" w:eastAsia="宋体" w:cs="宋体"/>
                <w:sz w:val="28"/>
                <w:szCs w:val="28"/>
              </w:rPr>
            </w:pPr>
          </w:p>
          <w:p w14:paraId="7C5D4123">
            <w:pPr>
              <w:bidi w:val="0"/>
              <w:spacing w:line="340" w:lineRule="exact"/>
              <w:rPr>
                <w:rFonts w:hint="eastAsia" w:ascii="宋体" w:hAnsi="宋体" w:eastAsia="宋体" w:cs="宋体"/>
                <w:sz w:val="28"/>
                <w:szCs w:val="28"/>
              </w:rPr>
            </w:pPr>
            <w:r>
              <w:rPr>
                <w:rFonts w:hint="eastAsia" w:ascii="宋体" w:hAnsi="宋体" w:eastAsia="宋体" w:cs="宋体"/>
                <w:sz w:val="28"/>
                <w:szCs w:val="28"/>
              </w:rPr>
              <w:t>[15] Zhai W, Sun Y, Wang S, et al. Multi-modal Contrastive Learning for RGB-D Person Re-identification[C]. Proceedings of the IEEE/CVF Conference on Computer Vision and Pattern Recognition (CVPR), 2024: 17805-17814.</w:t>
            </w:r>
          </w:p>
          <w:p w14:paraId="64FE5D2E">
            <w:pPr>
              <w:bidi w:val="0"/>
              <w:spacing w:line="340" w:lineRule="exact"/>
              <w:rPr>
                <w:rFonts w:hint="eastAsia" w:ascii="宋体" w:hAnsi="宋体" w:eastAsia="宋体" w:cs="宋体"/>
                <w:sz w:val="28"/>
                <w:szCs w:val="28"/>
              </w:rPr>
            </w:pPr>
          </w:p>
          <w:p w14:paraId="41CCD9AC">
            <w:pPr>
              <w:bidi w:val="0"/>
              <w:spacing w:line="340" w:lineRule="exact"/>
              <w:rPr>
                <w:rFonts w:hint="eastAsia" w:ascii="宋体" w:hAnsi="宋体" w:eastAsia="宋体" w:cs="宋体"/>
                <w:sz w:val="28"/>
                <w:szCs w:val="28"/>
              </w:rPr>
            </w:pPr>
            <w:r>
              <w:rPr>
                <w:rFonts w:hint="eastAsia" w:ascii="宋体" w:hAnsi="宋体" w:eastAsia="宋体" w:cs="宋体"/>
                <w:sz w:val="28"/>
                <w:szCs w:val="28"/>
              </w:rPr>
              <w:t>[16] Wang M, Li W, Li H, et al. FlexiReID: Adaptive Mixture of Expert for Multi-Modal Person Re-Identification[J]. arXiv preprint arXiv:2510.15595, 2025.</w:t>
            </w:r>
          </w:p>
          <w:p w14:paraId="55C07B36">
            <w:pPr>
              <w:bidi w:val="0"/>
              <w:spacing w:line="340" w:lineRule="exact"/>
              <w:rPr>
                <w:rFonts w:hint="eastAsia" w:ascii="宋体" w:hAnsi="宋体" w:eastAsia="宋体" w:cs="宋体"/>
                <w:sz w:val="28"/>
                <w:szCs w:val="28"/>
              </w:rPr>
            </w:pPr>
          </w:p>
          <w:p w14:paraId="0151A015">
            <w:pPr>
              <w:bidi w:val="0"/>
              <w:spacing w:line="340" w:lineRule="exact"/>
              <w:rPr>
                <w:rFonts w:hint="eastAsia" w:ascii="宋体" w:hAnsi="宋体" w:eastAsia="宋体" w:cs="宋体"/>
                <w:sz w:val="28"/>
                <w:szCs w:val="28"/>
              </w:rPr>
            </w:pPr>
            <w:r>
              <w:rPr>
                <w:rFonts w:hint="eastAsia" w:ascii="宋体" w:hAnsi="宋体" w:eastAsia="宋体" w:cs="宋体"/>
                <w:sz w:val="28"/>
                <w:szCs w:val="28"/>
              </w:rPr>
              <w:t>[17] Feng F, Ma Z, Zha Y, et al. Multi-Modal Object Re-Identification via Sparse Mixture-of-Experts (MFRNet)[C]. International Conference on Learning Representations (ICLR), 2025: 1845-1855.</w:t>
            </w:r>
          </w:p>
          <w:p w14:paraId="4C1D2B13">
            <w:pPr>
              <w:bidi w:val="0"/>
              <w:spacing w:line="340" w:lineRule="exact"/>
              <w:rPr>
                <w:rFonts w:hint="eastAsia" w:ascii="宋体" w:hAnsi="宋体" w:eastAsia="宋体" w:cs="宋体"/>
                <w:sz w:val="28"/>
                <w:szCs w:val="28"/>
              </w:rPr>
            </w:pPr>
          </w:p>
          <w:p w14:paraId="5BFBDA32">
            <w:pPr>
              <w:bidi w:val="0"/>
              <w:spacing w:line="340" w:lineRule="exact"/>
              <w:rPr>
                <w:rFonts w:hint="eastAsia" w:ascii="宋体" w:hAnsi="宋体" w:eastAsia="宋体" w:cs="宋体"/>
                <w:sz w:val="28"/>
                <w:szCs w:val="28"/>
              </w:rPr>
            </w:pPr>
            <w:r>
              <w:rPr>
                <w:rFonts w:hint="eastAsia" w:ascii="宋体" w:hAnsi="宋体" w:eastAsia="宋体" w:cs="宋体"/>
                <w:sz w:val="28"/>
                <w:szCs w:val="28"/>
              </w:rPr>
              <w:t>[18] Li Z, Sun X, Zhang J, et al. Multi-Grained Mixture of Experts via Text-Modulation for Multi-Modal Object Re-Identification[J]. arXiv preprint arXiv:2505.20001, 2025.</w:t>
            </w:r>
          </w:p>
          <w:p w14:paraId="234923C0">
            <w:pPr>
              <w:bidi w:val="0"/>
              <w:spacing w:line="340" w:lineRule="exact"/>
              <w:rPr>
                <w:rFonts w:hint="eastAsia" w:ascii="宋体" w:hAnsi="宋体" w:eastAsia="宋体" w:cs="宋体"/>
                <w:sz w:val="28"/>
                <w:szCs w:val="28"/>
              </w:rPr>
            </w:pPr>
          </w:p>
          <w:p w14:paraId="4F53015A">
            <w:pPr>
              <w:bidi w:val="0"/>
              <w:spacing w:line="340" w:lineRule="exact"/>
              <w:rPr>
                <w:rFonts w:hint="eastAsia" w:ascii="宋体" w:hAnsi="宋体" w:eastAsia="宋体" w:cs="宋体"/>
                <w:sz w:val="28"/>
                <w:szCs w:val="28"/>
              </w:rPr>
            </w:pPr>
            <w:r>
              <w:rPr>
                <w:rFonts w:hint="eastAsia" w:ascii="宋体" w:hAnsi="宋体" w:eastAsia="宋体" w:cs="宋体"/>
                <w:sz w:val="28"/>
                <w:szCs w:val="28"/>
              </w:rPr>
              <w:t>[19] Li Y, Liu X, Huang Y, et al. Occlusion-Aware Mixture-of-Experts Vision Transformer for Occluded Person Re-Identification[C]. Proceedings of the AAAI Conference on Artificial Intelligence (AAAI), 2025, 39(1): 720-728.</w:t>
            </w:r>
          </w:p>
          <w:p w14:paraId="0BDEEEA8">
            <w:pPr>
              <w:bidi w:val="0"/>
              <w:spacing w:line="340" w:lineRule="exact"/>
              <w:rPr>
                <w:rFonts w:hint="eastAsia" w:ascii="宋体" w:hAnsi="宋体" w:eastAsia="宋体" w:cs="宋体"/>
                <w:sz w:val="28"/>
                <w:szCs w:val="28"/>
              </w:rPr>
            </w:pPr>
          </w:p>
          <w:p w14:paraId="643FBD4A">
            <w:pPr>
              <w:bidi w:val="0"/>
              <w:spacing w:line="340" w:lineRule="exact"/>
              <w:rPr>
                <w:rFonts w:hint="eastAsia" w:ascii="宋体" w:hAnsi="宋体" w:eastAsia="宋体" w:cs="宋体"/>
                <w:sz w:val="28"/>
                <w:szCs w:val="28"/>
              </w:rPr>
            </w:pPr>
            <w:r>
              <w:rPr>
                <w:rFonts w:hint="eastAsia" w:ascii="宋体" w:hAnsi="宋体" w:eastAsia="宋体" w:cs="宋体"/>
                <w:sz w:val="28"/>
                <w:szCs w:val="28"/>
              </w:rPr>
              <w:t>[20] Huang X, Chen H, Yu F, et al. Toward Efficient Inference for Mixture of Experts[C]. Advances in Neural Information Processing Systems (NeurIPS), 2024: 10115-10125.</w:t>
            </w:r>
          </w:p>
          <w:p w14:paraId="211FFDA9">
            <w:pPr>
              <w:bidi w:val="0"/>
              <w:spacing w:line="340" w:lineRule="exact"/>
              <w:rPr>
                <w:rFonts w:hint="eastAsia" w:ascii="宋体" w:hAnsi="宋体" w:eastAsia="宋体" w:cs="宋体"/>
                <w:sz w:val="28"/>
                <w:szCs w:val="28"/>
              </w:rPr>
            </w:pPr>
          </w:p>
          <w:p w14:paraId="0FF509FC">
            <w:pPr>
              <w:bidi w:val="0"/>
              <w:spacing w:line="340" w:lineRule="exact"/>
              <w:rPr>
                <w:rFonts w:hint="eastAsia" w:ascii="宋体" w:hAnsi="宋体" w:eastAsia="宋体" w:cs="宋体"/>
                <w:sz w:val="28"/>
                <w:szCs w:val="28"/>
              </w:rPr>
            </w:pPr>
            <w:r>
              <w:rPr>
                <w:rFonts w:hint="eastAsia" w:ascii="宋体" w:hAnsi="宋体" w:eastAsia="宋体" w:cs="宋体"/>
                <w:sz w:val="28"/>
                <w:szCs w:val="28"/>
              </w:rPr>
              <w:t>[21] Cui Q, Wang W, Liu W, et al. Learning Continual Compatible Representation for Re-indexing Free Lifelong Person Re-identification[C]. Proceedings of the IEEE/CVF Conference on Computer Vision and Pattern Recognition (CVPR), 2024: 9876-9885.</w:t>
            </w:r>
          </w:p>
          <w:p w14:paraId="58EACB69">
            <w:pPr>
              <w:bidi w:val="0"/>
              <w:spacing w:line="340" w:lineRule="exact"/>
              <w:rPr>
                <w:rFonts w:hint="eastAsia" w:ascii="宋体" w:hAnsi="宋体" w:eastAsia="宋体" w:cs="宋体"/>
                <w:sz w:val="28"/>
                <w:szCs w:val="28"/>
              </w:rPr>
            </w:pPr>
          </w:p>
          <w:p w14:paraId="724CF654">
            <w:pPr>
              <w:bidi w:val="0"/>
              <w:spacing w:line="340" w:lineRule="exact"/>
              <w:rPr>
                <w:rFonts w:hint="eastAsia" w:ascii="宋体" w:hAnsi="宋体" w:eastAsia="宋体" w:cs="宋体"/>
                <w:sz w:val="28"/>
                <w:szCs w:val="28"/>
              </w:rPr>
            </w:pPr>
            <w:r>
              <w:rPr>
                <w:rFonts w:hint="eastAsia" w:ascii="宋体" w:hAnsi="宋体" w:eastAsia="宋体" w:cs="宋体"/>
                <w:sz w:val="28"/>
                <w:szCs w:val="28"/>
              </w:rPr>
              <w:t>[22] Zhu Y, Yan Y, Liu Y, et al. SEAS: ShapE-Aligned Supervision for Person Re-Identification[C]. Proceedings of the IEEE/CVF Conference on Computer Vision and Pattern Recognition (CVPR), 2024: 12560-12569.</w:t>
            </w:r>
          </w:p>
          <w:p w14:paraId="38D31F3B">
            <w:pPr>
              <w:bidi w:val="0"/>
              <w:spacing w:line="340" w:lineRule="exact"/>
              <w:rPr>
                <w:rFonts w:hint="eastAsia" w:ascii="宋体" w:hAnsi="宋体" w:eastAsia="宋体" w:cs="宋体"/>
                <w:sz w:val="28"/>
                <w:szCs w:val="28"/>
              </w:rPr>
            </w:pPr>
          </w:p>
          <w:p w14:paraId="44C986C8">
            <w:pPr>
              <w:bidi w:val="0"/>
              <w:spacing w:line="340" w:lineRule="exact"/>
              <w:rPr>
                <w:rFonts w:hint="eastAsia" w:ascii="宋体" w:hAnsi="宋体" w:eastAsia="宋体" w:cs="宋体"/>
                <w:sz w:val="28"/>
                <w:szCs w:val="28"/>
              </w:rPr>
            </w:pPr>
            <w:r>
              <w:rPr>
                <w:rFonts w:hint="eastAsia" w:ascii="宋体" w:hAnsi="宋体" w:eastAsia="宋体" w:cs="宋体"/>
                <w:sz w:val="28"/>
                <w:szCs w:val="28"/>
              </w:rPr>
              <w:t>[23] Sun S, Du M, Zhang J, et al. Keypoint Promptable Re-Identification (KPR)[C]. Proceedings of the European Conference on Computer Vision (ECCV), 2024: 671-686.</w:t>
            </w:r>
          </w:p>
          <w:p w14:paraId="03AF2A33">
            <w:pPr>
              <w:bidi w:val="0"/>
              <w:spacing w:line="340" w:lineRule="exact"/>
              <w:rPr>
                <w:rFonts w:hint="eastAsia" w:ascii="宋体" w:hAnsi="宋体" w:eastAsia="宋体" w:cs="宋体"/>
                <w:sz w:val="28"/>
                <w:szCs w:val="28"/>
              </w:rPr>
            </w:pPr>
          </w:p>
          <w:p w14:paraId="4750C920">
            <w:pPr>
              <w:bidi w:val="0"/>
              <w:spacing w:line="340" w:lineRule="exact"/>
              <w:rPr>
                <w:rFonts w:hint="eastAsia" w:ascii="宋体" w:hAnsi="宋体" w:eastAsia="宋体" w:cs="宋体"/>
                <w:sz w:val="28"/>
                <w:szCs w:val="28"/>
              </w:rPr>
            </w:pPr>
            <w:r>
              <w:rPr>
                <w:rFonts w:hint="eastAsia" w:ascii="宋体" w:hAnsi="宋体" w:eastAsia="宋体" w:cs="宋体"/>
                <w:sz w:val="28"/>
                <w:szCs w:val="28"/>
              </w:rPr>
              <w:t>[24] Zhao D, Zang Q, Wang S, et al. Cross-video Identity Correlating for Person Re-identification Pre-training[C]. Advances in Neural Information Processing Systems (NeurIPS), 2024: 5509-5519.</w:t>
            </w:r>
          </w:p>
          <w:p w14:paraId="0C9B209C">
            <w:pPr>
              <w:bidi w:val="0"/>
              <w:spacing w:line="340" w:lineRule="exact"/>
              <w:rPr>
                <w:rFonts w:hint="eastAsia" w:ascii="宋体" w:hAnsi="宋体" w:eastAsia="宋体" w:cs="宋体"/>
                <w:sz w:val="28"/>
                <w:szCs w:val="28"/>
              </w:rPr>
            </w:pPr>
          </w:p>
          <w:p w14:paraId="04DDC3B3">
            <w:pPr>
              <w:bidi w:val="0"/>
              <w:spacing w:line="340" w:lineRule="exact"/>
              <w:rPr>
                <w:rFonts w:hint="eastAsia" w:ascii="宋体" w:hAnsi="宋体" w:eastAsia="宋体" w:cs="宋体"/>
                <w:sz w:val="28"/>
                <w:szCs w:val="28"/>
              </w:rPr>
            </w:pPr>
            <w:r>
              <w:rPr>
                <w:rFonts w:hint="eastAsia" w:ascii="宋体" w:hAnsi="宋体" w:eastAsia="宋体" w:cs="宋体"/>
                <w:sz w:val="28"/>
                <w:szCs w:val="28"/>
              </w:rPr>
              <w:t>[25] Wu Z, Yan Y, Li H, et al. Learning to Balance: Diverse Normalization for Cloth-Changing Person Re-Identification[J]. arXiv preprint arXiv:2410.03977, 2024.</w:t>
            </w:r>
          </w:p>
          <w:p w14:paraId="034982D6">
            <w:pPr>
              <w:bidi w:val="0"/>
              <w:spacing w:line="340" w:lineRule="exact"/>
              <w:rPr>
                <w:rFonts w:hint="eastAsia" w:ascii="宋体" w:hAnsi="宋体" w:eastAsia="宋体" w:cs="宋体"/>
                <w:sz w:val="28"/>
                <w:szCs w:val="28"/>
              </w:rPr>
            </w:pPr>
          </w:p>
          <w:p w14:paraId="1911BC01">
            <w:pPr>
              <w:bidi w:val="0"/>
              <w:spacing w:line="340" w:lineRule="exact"/>
              <w:rPr>
                <w:rFonts w:hint="eastAsia" w:ascii="宋体" w:hAnsi="宋体" w:eastAsia="宋体" w:cs="宋体"/>
                <w:sz w:val="28"/>
                <w:szCs w:val="28"/>
              </w:rPr>
            </w:pPr>
            <w:r>
              <w:rPr>
                <w:rFonts w:hint="eastAsia" w:ascii="宋体" w:hAnsi="宋体" w:eastAsia="宋体" w:cs="宋体"/>
                <w:sz w:val="28"/>
                <w:szCs w:val="28"/>
              </w:rPr>
              <w:t>[26] Yu Y, Xu Z, Chen Y, et al. Towards Multi-Modal Person Re-identification via Contrastive Multi-View Learning[C]. Proceedings of the European Conference on Computer Vision (ECCV), 2022: 121-136.</w:t>
            </w:r>
          </w:p>
          <w:p w14:paraId="2D900718">
            <w:pPr>
              <w:bidi w:val="0"/>
              <w:spacing w:line="340" w:lineRule="exact"/>
              <w:rPr>
                <w:rFonts w:hint="eastAsia" w:ascii="宋体" w:hAnsi="宋体" w:eastAsia="宋体" w:cs="宋体"/>
                <w:sz w:val="28"/>
                <w:szCs w:val="28"/>
              </w:rPr>
            </w:pPr>
          </w:p>
          <w:p w14:paraId="47FC0A16">
            <w:pPr>
              <w:bidi w:val="0"/>
              <w:spacing w:line="340" w:lineRule="exact"/>
              <w:rPr>
                <w:rFonts w:hint="eastAsia" w:ascii="宋体" w:hAnsi="宋体" w:eastAsia="宋体" w:cs="宋体"/>
                <w:sz w:val="28"/>
                <w:szCs w:val="28"/>
              </w:rPr>
            </w:pPr>
            <w:r>
              <w:rPr>
                <w:rFonts w:hint="eastAsia" w:ascii="宋体" w:hAnsi="宋体" w:eastAsia="宋体" w:cs="宋体"/>
                <w:sz w:val="28"/>
                <w:szCs w:val="28"/>
              </w:rPr>
              <w:t>[27] Li J, Wang W, Zheng Z, et al. Learning Diverse and Discriminative Representations for Re-Identification[C]. Proceedings of the IEEE/CVF Conference on Computer Vision and Pattern Recognition (CVPR), 2023: 19131-19140.</w:t>
            </w:r>
          </w:p>
          <w:p w14:paraId="10569C40">
            <w:pPr>
              <w:bidi w:val="0"/>
              <w:spacing w:line="340" w:lineRule="exact"/>
              <w:rPr>
                <w:rFonts w:hint="eastAsia" w:ascii="宋体" w:hAnsi="宋体" w:eastAsia="宋体" w:cs="宋体"/>
                <w:sz w:val="28"/>
                <w:szCs w:val="28"/>
              </w:rPr>
            </w:pPr>
          </w:p>
          <w:p w14:paraId="33D7E1B6">
            <w:pPr>
              <w:bidi w:val="0"/>
              <w:spacing w:line="340" w:lineRule="exact"/>
              <w:rPr>
                <w:rFonts w:hint="eastAsia" w:ascii="宋体" w:hAnsi="宋体" w:eastAsia="宋体" w:cs="宋体"/>
                <w:sz w:val="28"/>
                <w:szCs w:val="28"/>
              </w:rPr>
            </w:pPr>
            <w:r>
              <w:rPr>
                <w:rFonts w:hint="eastAsia" w:ascii="宋体" w:hAnsi="宋体" w:eastAsia="宋体" w:cs="宋体"/>
                <w:sz w:val="28"/>
                <w:szCs w:val="28"/>
              </w:rPr>
              <w:t>[28] Gao H, Li X, Liu X, et al. A Feature Disentangling Network for Robust Person Re-Identification[C]. Proceedings of the European Conference on Computer Vision (ECCV), 2022: 601-615.</w:t>
            </w:r>
          </w:p>
          <w:p w14:paraId="028FD668">
            <w:pPr>
              <w:bidi w:val="0"/>
              <w:spacing w:line="340" w:lineRule="exact"/>
              <w:rPr>
                <w:rFonts w:hint="eastAsia" w:ascii="宋体" w:hAnsi="宋体" w:eastAsia="宋体" w:cs="宋体"/>
                <w:sz w:val="28"/>
                <w:szCs w:val="28"/>
              </w:rPr>
            </w:pPr>
          </w:p>
          <w:p w14:paraId="4AFD9C2D">
            <w:pPr>
              <w:bidi w:val="0"/>
              <w:spacing w:line="340" w:lineRule="exact"/>
              <w:rPr>
                <w:rFonts w:hint="eastAsia" w:ascii="宋体" w:hAnsi="宋体" w:eastAsia="宋体" w:cs="宋体"/>
                <w:sz w:val="28"/>
                <w:szCs w:val="28"/>
              </w:rPr>
            </w:pPr>
            <w:r>
              <w:rPr>
                <w:rFonts w:hint="eastAsia" w:ascii="宋体" w:hAnsi="宋体" w:eastAsia="宋体" w:cs="宋体"/>
                <w:sz w:val="28"/>
                <w:szCs w:val="28"/>
              </w:rPr>
              <w:t>[29] Fu T, Yang H, Wu D, et al. Context-Aware Feature Fusion for Person Re-Identification[C]. Proceedings of the IEEE/CVF International Conference on Computer Vision (ICCV), 2023: 780-789.</w:t>
            </w:r>
          </w:p>
          <w:p w14:paraId="01A32012">
            <w:pPr>
              <w:bidi w:val="0"/>
              <w:spacing w:line="340" w:lineRule="exact"/>
              <w:rPr>
                <w:rFonts w:hint="eastAsia" w:ascii="宋体" w:hAnsi="宋体" w:eastAsia="宋体" w:cs="宋体"/>
                <w:sz w:val="28"/>
                <w:szCs w:val="28"/>
              </w:rPr>
            </w:pPr>
          </w:p>
          <w:p w14:paraId="265F72FB">
            <w:pPr>
              <w:numPr>
                <w:ilvl w:val="0"/>
                <w:numId w:val="7"/>
              </w:numPr>
              <w:bidi w:val="0"/>
              <w:spacing w:line="340" w:lineRule="exact"/>
              <w:rPr>
                <w:rFonts w:hint="eastAsia" w:ascii="宋体" w:hAnsi="宋体" w:eastAsia="宋体" w:cs="宋体"/>
                <w:sz w:val="28"/>
                <w:szCs w:val="28"/>
              </w:rPr>
            </w:pPr>
            <w:r>
              <w:rPr>
                <w:rFonts w:hint="eastAsia" w:ascii="宋体" w:hAnsi="宋体" w:eastAsia="宋体" w:cs="宋体"/>
                <w:sz w:val="28"/>
                <w:szCs w:val="28"/>
              </w:rPr>
              <w:t>Zhou Y, Wang Y, Wang S, et al. Unsupervised Person Re-identification via Self-paced Contrastive Learning[C]. Proceedings of the IEEE/CVF Conference on Computer Vision and Pattern Recognition (CVPR), 2022: 8901-8910.</w:t>
            </w:r>
          </w:p>
        </w:tc>
      </w:tr>
    </w:tbl>
    <w:p w14:paraId="1C9EBDCB">
      <w:pPr>
        <w:bidi w:val="0"/>
        <w:rPr>
          <w:rFonts w:hint="eastAsia" w:ascii="黑体" w:eastAsia="黑体"/>
          <w:sz w:val="28"/>
          <w:szCs w:val="28"/>
        </w:rPr>
      </w:pPr>
    </w:p>
    <w:p w14:paraId="579C19FF">
      <w:pPr>
        <w:bidi w:val="0"/>
        <w:rPr>
          <w:rFonts w:hint="eastAsia" w:ascii="黑体" w:eastAsia="黑体"/>
          <w:sz w:val="28"/>
          <w:szCs w:val="28"/>
        </w:rPr>
      </w:pPr>
    </w:p>
    <w:p w14:paraId="3405ED52">
      <w:pPr>
        <w:bidi w:val="0"/>
        <w:rPr>
          <w:rFonts w:hint="eastAsia" w:ascii="黑体" w:eastAsia="黑体"/>
          <w:sz w:val="28"/>
          <w:szCs w:val="28"/>
        </w:rPr>
      </w:pPr>
    </w:p>
    <w:p w14:paraId="101BE6D4">
      <w:pPr>
        <w:bidi w:val="0"/>
        <w:rPr>
          <w:rFonts w:hint="eastAsia" w:ascii="黑体" w:eastAsia="黑体"/>
          <w:sz w:val="28"/>
          <w:szCs w:val="28"/>
        </w:rPr>
      </w:pPr>
    </w:p>
    <w:tbl>
      <w:tblPr>
        <w:tblStyle w:val="4"/>
        <w:tblW w:w="0" w:type="auto"/>
        <w:tblInd w:w="0"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8521"/>
      </w:tblGrid>
      <w:tr w14:paraId="580BF03C">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765" w:type="dxa"/>
            <w:noWrap w:val="0"/>
            <w:vAlign w:val="center"/>
          </w:tcPr>
          <w:p w14:paraId="229D6655">
            <w:pPr>
              <w:bidi w:val="0"/>
              <w:spacing w:line="340" w:lineRule="exact"/>
              <w:jc w:val="center"/>
              <w:rPr>
                <w:rFonts w:hint="eastAsia" w:ascii="黑体" w:eastAsia="黑体"/>
                <w:sz w:val="28"/>
                <w:szCs w:val="28"/>
              </w:rPr>
            </w:pPr>
            <w:r>
              <w:rPr>
                <w:rFonts w:hint="eastAsia" w:ascii="黑体" w:eastAsia="黑体"/>
                <w:sz w:val="28"/>
                <w:szCs w:val="28"/>
              </w:rPr>
              <w:t>指导教师意见</w:t>
            </w:r>
          </w:p>
        </w:tc>
        <w:tc>
          <w:tcPr>
            <w:tcW w:w="8521" w:type="dxa"/>
            <w:noWrap w:val="0"/>
            <w:vAlign w:val="top"/>
          </w:tcPr>
          <w:p w14:paraId="56742CE0">
            <w:pPr>
              <w:bidi w:val="0"/>
              <w:spacing w:line="340" w:lineRule="exact"/>
              <w:rPr>
                <w:rFonts w:hint="eastAsia" w:ascii="黑体" w:eastAsia="黑体"/>
                <w:sz w:val="28"/>
                <w:szCs w:val="28"/>
              </w:rPr>
            </w:pPr>
          </w:p>
          <w:p w14:paraId="1E19615D">
            <w:pPr>
              <w:bidi w:val="0"/>
              <w:spacing w:line="340" w:lineRule="exact"/>
              <w:rPr>
                <w:rFonts w:hint="eastAsia" w:ascii="黑体" w:eastAsia="黑体"/>
                <w:sz w:val="28"/>
                <w:szCs w:val="28"/>
              </w:rPr>
            </w:pPr>
          </w:p>
          <w:p w14:paraId="7C3F8355">
            <w:pPr>
              <w:bidi w:val="0"/>
              <w:spacing w:line="340" w:lineRule="exact"/>
              <w:rPr>
                <w:rFonts w:hint="eastAsia" w:ascii="黑体" w:eastAsia="黑体"/>
                <w:sz w:val="28"/>
                <w:szCs w:val="28"/>
              </w:rPr>
            </w:pPr>
          </w:p>
          <w:p w14:paraId="1F421838">
            <w:pPr>
              <w:bidi w:val="0"/>
              <w:spacing w:line="340" w:lineRule="exact"/>
              <w:rPr>
                <w:rFonts w:hint="eastAsia" w:ascii="黑体" w:eastAsia="黑体"/>
                <w:sz w:val="28"/>
                <w:szCs w:val="28"/>
              </w:rPr>
            </w:pPr>
          </w:p>
          <w:p w14:paraId="52E08207">
            <w:pPr>
              <w:bidi w:val="0"/>
              <w:spacing w:line="340" w:lineRule="exact"/>
              <w:rPr>
                <w:rFonts w:hint="eastAsia" w:ascii="黑体" w:eastAsia="黑体"/>
                <w:sz w:val="28"/>
                <w:szCs w:val="28"/>
              </w:rPr>
            </w:pPr>
          </w:p>
          <w:p w14:paraId="123EBB5A">
            <w:pPr>
              <w:bidi w:val="0"/>
              <w:spacing w:line="340" w:lineRule="exact"/>
              <w:rPr>
                <w:rFonts w:hint="eastAsia" w:ascii="黑体" w:eastAsia="黑体"/>
                <w:sz w:val="28"/>
                <w:szCs w:val="28"/>
              </w:rPr>
            </w:pPr>
            <w:r>
              <w:rPr>
                <w:rFonts w:hint="eastAsia" w:ascii="黑体" w:eastAsia="黑体"/>
                <w:sz w:val="28"/>
                <w:szCs w:val="28"/>
              </w:rPr>
              <w:t>指导教师签名：</w:t>
            </w:r>
            <w:r>
              <w:rPr>
                <w:rFonts w:hint="eastAsia" w:ascii="黑体" w:eastAsia="黑体"/>
                <w:sz w:val="28"/>
                <w:szCs w:val="28"/>
                <w:u w:val="single"/>
              </w:rPr>
              <w:t xml:space="preserve">               </w:t>
            </w:r>
            <w:r>
              <w:rPr>
                <w:rFonts w:hint="eastAsia" w:ascii="黑体" w:eastAsia="黑体"/>
                <w:sz w:val="28"/>
                <w:szCs w:val="28"/>
              </w:rPr>
              <w:t xml:space="preserve">        二</w:t>
            </w:r>
            <w:r>
              <w:rPr>
                <w:rFonts w:ascii="黑体" w:eastAsia="黑体"/>
                <w:sz w:val="28"/>
                <w:szCs w:val="28"/>
              </w:rPr>
              <w:t>〇</w:t>
            </w:r>
            <w:r>
              <w:rPr>
                <w:rFonts w:hint="eastAsia" w:ascii="黑体" w:eastAsia="黑体"/>
                <w:sz w:val="28"/>
                <w:szCs w:val="28"/>
              </w:rPr>
              <w:t xml:space="preserve">     年    月    日</w:t>
            </w:r>
          </w:p>
        </w:tc>
      </w:tr>
      <w:tr w14:paraId="7A83D1C1">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765" w:type="dxa"/>
            <w:noWrap w:val="0"/>
            <w:vAlign w:val="center"/>
          </w:tcPr>
          <w:p w14:paraId="4A61E417">
            <w:pPr>
              <w:bidi w:val="0"/>
              <w:spacing w:line="400" w:lineRule="exact"/>
              <w:jc w:val="center"/>
              <w:rPr>
                <w:rFonts w:hint="eastAsia" w:eastAsia="黑体"/>
                <w:sz w:val="28"/>
                <w:szCs w:val="28"/>
              </w:rPr>
            </w:pPr>
            <w:r>
              <w:rPr>
                <w:rFonts w:hint="eastAsia" w:eastAsia="黑体"/>
                <w:sz w:val="28"/>
                <w:szCs w:val="28"/>
              </w:rPr>
              <w:t>评议小组名单</w:t>
            </w:r>
          </w:p>
        </w:tc>
        <w:tc>
          <w:tcPr>
            <w:tcW w:w="8521" w:type="dxa"/>
            <w:noWrap w:val="0"/>
            <w:vAlign w:val="top"/>
          </w:tcPr>
          <w:p w14:paraId="7ED7C137">
            <w:pPr>
              <w:bidi w:val="0"/>
              <w:spacing w:line="500" w:lineRule="exact"/>
              <w:jc w:val="center"/>
              <w:rPr>
                <w:rFonts w:hint="eastAsia" w:eastAsia="黑体"/>
                <w:sz w:val="28"/>
                <w:szCs w:val="28"/>
              </w:rPr>
            </w:pPr>
            <w:r>
              <w:rPr>
                <w:rFonts w:eastAsia="黑体"/>
                <w:sz w:val="28"/>
                <w:szCs w:val="28"/>
              </w:rPr>
              <w:t>由</w:t>
            </w:r>
            <w:r>
              <w:rPr>
                <w:rFonts w:hint="eastAsia" w:eastAsia="黑体"/>
                <w:sz w:val="28"/>
                <w:szCs w:val="28"/>
              </w:rPr>
              <w:t>学院</w:t>
            </w:r>
            <w:r>
              <w:rPr>
                <w:rFonts w:eastAsia="黑体"/>
                <w:sz w:val="28"/>
                <w:szCs w:val="28"/>
              </w:rPr>
              <w:t>主管领导确定3</w:t>
            </w:r>
            <w:r>
              <w:rPr>
                <w:rFonts w:hint="eastAsia" w:eastAsia="黑体"/>
                <w:sz w:val="28"/>
                <w:szCs w:val="28"/>
              </w:rPr>
              <w:t>~</w:t>
            </w:r>
            <w:r>
              <w:rPr>
                <w:rFonts w:eastAsia="黑体"/>
                <w:sz w:val="28"/>
                <w:szCs w:val="28"/>
              </w:rPr>
              <w:t>5</w:t>
            </w:r>
            <w:r>
              <w:rPr>
                <w:rFonts w:hint="eastAsia" w:eastAsia="黑体"/>
                <w:sz w:val="28"/>
                <w:szCs w:val="28"/>
              </w:rPr>
              <w:t>名具有高级职称的教师为评议小组成员</w:t>
            </w:r>
          </w:p>
          <w:p w14:paraId="565E2C1B">
            <w:pPr>
              <w:bidi w:val="0"/>
              <w:spacing w:line="500" w:lineRule="exact"/>
              <w:rPr>
                <w:rFonts w:hint="eastAsia" w:eastAsia="黑体"/>
                <w:sz w:val="28"/>
                <w:szCs w:val="28"/>
              </w:rPr>
            </w:pPr>
            <w:r>
              <w:rPr>
                <w:rFonts w:hint="eastAsia" w:eastAsia="黑体"/>
                <w:sz w:val="28"/>
                <w:szCs w:val="28"/>
              </w:rPr>
              <w:t>组长：</w:t>
            </w:r>
            <w:r>
              <w:rPr>
                <w:rFonts w:hint="eastAsia" w:eastAsia="黑体"/>
                <w:sz w:val="28"/>
                <w:szCs w:val="28"/>
                <w:u w:val="single"/>
              </w:rPr>
              <w:t xml:space="preserve">                 </w:t>
            </w:r>
          </w:p>
          <w:p w14:paraId="7D93D3D0">
            <w:pPr>
              <w:bidi w:val="0"/>
              <w:spacing w:line="500" w:lineRule="exact"/>
              <w:rPr>
                <w:rFonts w:hint="eastAsia" w:eastAsia="黑体"/>
                <w:sz w:val="28"/>
                <w:szCs w:val="28"/>
                <w:u w:val="single"/>
              </w:rPr>
            </w:pPr>
            <w:r>
              <w:rPr>
                <w:rFonts w:hint="eastAsia" w:eastAsia="黑体"/>
                <w:sz w:val="28"/>
                <w:szCs w:val="28"/>
              </w:rPr>
              <w:t>组员：</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r>
              <w:rPr>
                <w:rFonts w:hint="eastAsia" w:eastAsia="黑体"/>
                <w:sz w:val="28"/>
                <w:szCs w:val="28"/>
              </w:rPr>
              <w:t>、</w:t>
            </w:r>
            <w:r>
              <w:rPr>
                <w:rFonts w:hint="eastAsia" w:eastAsia="黑体"/>
                <w:sz w:val="28"/>
                <w:szCs w:val="28"/>
                <w:u w:val="single"/>
              </w:rPr>
              <w:t xml:space="preserve">         </w:t>
            </w:r>
          </w:p>
          <w:p w14:paraId="2D9667EF">
            <w:pPr>
              <w:bidi w:val="0"/>
              <w:spacing w:line="500" w:lineRule="exact"/>
              <w:rPr>
                <w:rFonts w:hint="eastAsia" w:eastAsia="黑体"/>
                <w:sz w:val="28"/>
                <w:szCs w:val="28"/>
                <w:u w:val="single"/>
              </w:rPr>
            </w:pPr>
          </w:p>
          <w:p w14:paraId="7F13C804">
            <w:pPr>
              <w:bidi w:val="0"/>
              <w:spacing w:line="500" w:lineRule="exact"/>
              <w:rPr>
                <w:rFonts w:hint="eastAsia" w:eastAsia="黑体"/>
                <w:sz w:val="28"/>
                <w:szCs w:val="28"/>
              </w:rPr>
            </w:pPr>
            <w:r>
              <w:rPr>
                <w:rFonts w:hint="eastAsia" w:eastAsia="黑体"/>
                <w:sz w:val="28"/>
                <w:szCs w:val="28"/>
              </w:rPr>
              <w:t xml:space="preserve">                                            （公章）</w:t>
            </w:r>
          </w:p>
          <w:p w14:paraId="641F8918">
            <w:pPr>
              <w:bidi w:val="0"/>
              <w:spacing w:line="500" w:lineRule="exact"/>
              <w:rPr>
                <w:rFonts w:hint="eastAsia" w:eastAsia="黑体"/>
                <w:sz w:val="28"/>
                <w:szCs w:val="28"/>
              </w:rPr>
            </w:pPr>
            <w:r>
              <w:rPr>
                <w:rFonts w:hint="eastAsia" w:eastAsia="黑体"/>
                <w:sz w:val="28"/>
                <w:szCs w:val="28"/>
              </w:rPr>
              <w:t>主管领导签名：</w:t>
            </w:r>
            <w:r>
              <w:rPr>
                <w:rFonts w:hint="eastAsia" w:eastAsia="黑体"/>
                <w:sz w:val="28"/>
                <w:szCs w:val="28"/>
                <w:u w:val="single"/>
              </w:rPr>
              <w:t xml:space="preserve">                 </w:t>
            </w:r>
            <w:r>
              <w:rPr>
                <w:rFonts w:hint="eastAsia" w:eastAsia="黑体"/>
                <w:sz w:val="28"/>
                <w:szCs w:val="28"/>
              </w:rPr>
              <w:t xml:space="preserve">      二</w:t>
            </w:r>
            <w:r>
              <w:rPr>
                <w:rFonts w:ascii="黑体" w:eastAsia="黑体"/>
                <w:sz w:val="28"/>
                <w:szCs w:val="28"/>
              </w:rPr>
              <w:t>〇</w:t>
            </w:r>
            <w:r>
              <w:rPr>
                <w:rFonts w:hint="eastAsia" w:ascii="黑体" w:eastAsia="黑体"/>
                <w:sz w:val="28"/>
                <w:szCs w:val="28"/>
              </w:rPr>
              <w:t xml:space="preserve">  </w:t>
            </w:r>
            <w:r>
              <w:rPr>
                <w:rFonts w:hint="eastAsia" w:eastAsia="黑体"/>
                <w:sz w:val="28"/>
                <w:szCs w:val="28"/>
              </w:rPr>
              <w:t xml:space="preserve">   年    月    日</w:t>
            </w:r>
          </w:p>
        </w:tc>
      </w:tr>
      <w:tr w14:paraId="63110D3C">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765" w:type="dxa"/>
            <w:noWrap w:val="0"/>
            <w:vAlign w:val="center"/>
          </w:tcPr>
          <w:p w14:paraId="5880F1FE">
            <w:pPr>
              <w:bidi w:val="0"/>
              <w:spacing w:line="500" w:lineRule="exact"/>
              <w:jc w:val="center"/>
              <w:rPr>
                <w:rFonts w:hint="eastAsia" w:eastAsia="黑体"/>
                <w:sz w:val="28"/>
                <w:szCs w:val="28"/>
              </w:rPr>
            </w:pPr>
            <w:r>
              <w:rPr>
                <w:rFonts w:hint="eastAsia" w:eastAsia="黑体"/>
                <w:sz w:val="28"/>
                <w:szCs w:val="28"/>
              </w:rPr>
              <w:t>评议小组意见</w:t>
            </w:r>
          </w:p>
        </w:tc>
        <w:tc>
          <w:tcPr>
            <w:tcW w:w="8521" w:type="dxa"/>
            <w:noWrap w:val="0"/>
            <w:vAlign w:val="top"/>
          </w:tcPr>
          <w:p w14:paraId="26E1D1D2">
            <w:pPr>
              <w:bidi w:val="0"/>
              <w:spacing w:before="40" w:line="400" w:lineRule="exact"/>
              <w:rPr>
                <w:rFonts w:hint="eastAsia" w:eastAsia="黑体"/>
                <w:szCs w:val="21"/>
              </w:rPr>
            </w:pPr>
            <w:r>
              <w:rPr>
                <w:rFonts w:hint="eastAsia" w:eastAsia="黑体"/>
                <w:szCs w:val="21"/>
              </w:rPr>
              <w:t xml:space="preserve">1、论文选题：             </w:t>
            </w:r>
            <w:r>
              <w:rPr>
                <w:rFonts w:ascii="黑体" w:eastAsia="黑体"/>
                <w:sz w:val="36"/>
                <w:szCs w:val="36"/>
              </w:rPr>
              <w:t>□</w:t>
            </w:r>
            <w:r>
              <w:rPr>
                <w:rFonts w:hint="eastAsia" w:ascii="黑体" w:eastAsia="黑体"/>
                <w:szCs w:val="21"/>
              </w:rPr>
              <w:t>有理论意义；</w:t>
            </w:r>
            <w:r>
              <w:rPr>
                <w:rFonts w:ascii="黑体" w:eastAsia="黑体"/>
                <w:sz w:val="36"/>
                <w:szCs w:val="36"/>
              </w:rPr>
              <w:t>□</w:t>
            </w:r>
            <w:r>
              <w:rPr>
                <w:rFonts w:hint="eastAsia" w:ascii="黑体" w:eastAsia="黑体"/>
                <w:szCs w:val="21"/>
              </w:rPr>
              <w:t>有工程背景；</w:t>
            </w:r>
            <w:r>
              <w:rPr>
                <w:rFonts w:ascii="黑体" w:eastAsia="黑体"/>
                <w:sz w:val="36"/>
                <w:szCs w:val="36"/>
              </w:rPr>
              <w:t>□</w:t>
            </w:r>
            <w:r>
              <w:rPr>
                <w:rFonts w:hint="eastAsia" w:ascii="黑体" w:eastAsia="黑体"/>
                <w:szCs w:val="21"/>
              </w:rPr>
              <w:t>有实用价值；</w:t>
            </w:r>
            <w:r>
              <w:rPr>
                <w:rFonts w:ascii="黑体" w:eastAsia="黑体"/>
                <w:sz w:val="36"/>
                <w:szCs w:val="36"/>
              </w:rPr>
              <w:t>□</w:t>
            </w:r>
            <w:r>
              <w:rPr>
                <w:rFonts w:hint="eastAsia" w:ascii="黑体" w:eastAsia="黑体"/>
                <w:szCs w:val="21"/>
              </w:rPr>
              <w:t>意义不大。</w:t>
            </w:r>
          </w:p>
          <w:p w14:paraId="607095CF">
            <w:pPr>
              <w:bidi w:val="0"/>
              <w:spacing w:line="400" w:lineRule="exact"/>
              <w:rPr>
                <w:rFonts w:hint="eastAsia" w:eastAsia="黑体"/>
                <w:szCs w:val="21"/>
              </w:rPr>
            </w:pPr>
            <w:r>
              <w:rPr>
                <w:rFonts w:hint="eastAsia" w:eastAsia="黑体"/>
                <w:szCs w:val="21"/>
              </w:rPr>
              <w:t xml:space="preserve">2、论文的难度：                                         </w:t>
            </w:r>
            <w:r>
              <w:rPr>
                <w:rFonts w:ascii="黑体" w:eastAsia="黑体"/>
                <w:sz w:val="36"/>
                <w:szCs w:val="36"/>
              </w:rPr>
              <w:t>□</w:t>
            </w:r>
            <w:r>
              <w:rPr>
                <w:rFonts w:hint="eastAsia" w:ascii="黑体" w:eastAsia="黑体"/>
                <w:szCs w:val="21"/>
              </w:rPr>
              <w:t>偏高；</w:t>
            </w:r>
            <w:r>
              <w:rPr>
                <w:rFonts w:ascii="黑体" w:eastAsia="黑体"/>
                <w:sz w:val="36"/>
                <w:szCs w:val="36"/>
              </w:rPr>
              <w:t>□</w:t>
            </w:r>
            <w:r>
              <w:rPr>
                <w:rFonts w:hint="eastAsia" w:ascii="黑体" w:eastAsia="黑体"/>
                <w:szCs w:val="21"/>
              </w:rPr>
              <w:t>适当；</w:t>
            </w:r>
            <w:r>
              <w:rPr>
                <w:rFonts w:ascii="黑体" w:eastAsia="黑体"/>
                <w:sz w:val="36"/>
                <w:szCs w:val="36"/>
              </w:rPr>
              <w:t>□</w:t>
            </w:r>
            <w:r>
              <w:rPr>
                <w:rFonts w:hint="eastAsia" w:ascii="黑体" w:eastAsia="黑体"/>
                <w:szCs w:val="21"/>
              </w:rPr>
              <w:t>偏低。</w:t>
            </w:r>
          </w:p>
          <w:p w14:paraId="329E14A6">
            <w:pPr>
              <w:bidi w:val="0"/>
              <w:spacing w:line="400" w:lineRule="exact"/>
              <w:rPr>
                <w:rFonts w:hint="eastAsia" w:eastAsia="黑体"/>
                <w:szCs w:val="21"/>
              </w:rPr>
            </w:pPr>
            <w:r>
              <w:rPr>
                <w:rFonts w:hint="eastAsia" w:eastAsia="黑体"/>
                <w:szCs w:val="21"/>
              </w:rPr>
              <w:t xml:space="preserve">3、论文的工作量：                                       </w:t>
            </w:r>
            <w:r>
              <w:rPr>
                <w:rFonts w:ascii="黑体" w:eastAsia="黑体"/>
                <w:sz w:val="36"/>
                <w:szCs w:val="36"/>
              </w:rPr>
              <w:t>□</w:t>
            </w:r>
            <w:r>
              <w:rPr>
                <w:rFonts w:hint="eastAsia" w:ascii="黑体" w:eastAsia="黑体"/>
                <w:szCs w:val="21"/>
              </w:rPr>
              <w:t>偏大；</w:t>
            </w:r>
            <w:r>
              <w:rPr>
                <w:rFonts w:ascii="黑体" w:eastAsia="黑体"/>
                <w:sz w:val="36"/>
                <w:szCs w:val="36"/>
              </w:rPr>
              <w:t>□</w:t>
            </w:r>
            <w:r>
              <w:rPr>
                <w:rFonts w:hint="eastAsia" w:ascii="黑体" w:eastAsia="黑体"/>
                <w:szCs w:val="21"/>
              </w:rPr>
              <w:t>适当；</w:t>
            </w:r>
            <w:r>
              <w:rPr>
                <w:rFonts w:ascii="黑体" w:eastAsia="黑体"/>
                <w:sz w:val="36"/>
                <w:szCs w:val="36"/>
              </w:rPr>
              <w:t>□</w:t>
            </w:r>
            <w:r>
              <w:rPr>
                <w:rFonts w:hint="eastAsia" w:ascii="黑体" w:eastAsia="黑体"/>
                <w:szCs w:val="21"/>
              </w:rPr>
              <w:t>偏小。</w:t>
            </w:r>
          </w:p>
          <w:p w14:paraId="2812ECD3">
            <w:pPr>
              <w:bidi w:val="0"/>
              <w:spacing w:line="400" w:lineRule="exact"/>
              <w:rPr>
                <w:rFonts w:hint="eastAsia" w:eastAsia="黑体"/>
                <w:szCs w:val="21"/>
              </w:rPr>
            </w:pPr>
            <w:r>
              <w:rPr>
                <w:rFonts w:hint="eastAsia" w:eastAsia="黑体"/>
                <w:szCs w:val="21"/>
              </w:rPr>
              <w:t xml:space="preserve">4、研究方案的可行性：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不可行。</w:t>
            </w:r>
          </w:p>
          <w:p w14:paraId="7D90300E">
            <w:pPr>
              <w:bidi w:val="0"/>
              <w:spacing w:line="400" w:lineRule="exact"/>
              <w:rPr>
                <w:rFonts w:hint="eastAsia" w:eastAsia="黑体"/>
                <w:szCs w:val="21"/>
              </w:rPr>
            </w:pPr>
            <w:r>
              <w:rPr>
                <w:rFonts w:hint="eastAsia" w:eastAsia="黑体"/>
                <w:szCs w:val="21"/>
              </w:rPr>
              <w:t xml:space="preserve">5、研究生对文献资料及课题的了解程度：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3638EAA9">
            <w:pPr>
              <w:bidi w:val="0"/>
              <w:spacing w:line="400" w:lineRule="exact"/>
              <w:rPr>
                <w:rFonts w:hint="eastAsia" w:eastAsia="黑体"/>
                <w:szCs w:val="21"/>
              </w:rPr>
            </w:pPr>
            <w:r>
              <w:rPr>
                <w:rFonts w:hint="eastAsia" w:eastAsia="黑体"/>
                <w:szCs w:val="21"/>
              </w:rPr>
              <w:t>6、</w:t>
            </w:r>
            <w:r>
              <w:rPr>
                <w:rFonts w:hint="eastAsia" w:eastAsia="黑体"/>
                <w:spacing w:val="-4"/>
                <w:szCs w:val="21"/>
              </w:rPr>
              <w:t>研究生在论文选题报告中反映出的综合能力和表达能力：</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4383CD0C">
            <w:pPr>
              <w:bidi w:val="0"/>
              <w:spacing w:line="400" w:lineRule="exact"/>
              <w:rPr>
                <w:rFonts w:hint="eastAsia" w:eastAsia="黑体"/>
                <w:szCs w:val="21"/>
              </w:rPr>
            </w:pPr>
            <w:r>
              <w:rPr>
                <w:rFonts w:hint="eastAsia" w:eastAsia="黑体"/>
                <w:szCs w:val="21"/>
              </w:rPr>
              <w:t xml:space="preserve">7、研究生在论文选题报告中反映出的创新能力：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38EAB457">
            <w:pPr>
              <w:bidi w:val="0"/>
              <w:spacing w:line="400" w:lineRule="exact"/>
              <w:rPr>
                <w:rFonts w:hint="eastAsia" w:eastAsia="黑体"/>
                <w:szCs w:val="21"/>
              </w:rPr>
            </w:pPr>
            <w:r>
              <w:rPr>
                <w:rFonts w:hint="eastAsia" w:eastAsia="黑体"/>
                <w:szCs w:val="21"/>
              </w:rPr>
              <w:t xml:space="preserve">8、对论文选题报告的总体评价：                      </w:t>
            </w:r>
            <w:r>
              <w:rPr>
                <w:rFonts w:ascii="黑体" w:eastAsia="黑体"/>
                <w:sz w:val="36"/>
                <w:szCs w:val="36"/>
              </w:rPr>
              <w:t>□</w:t>
            </w:r>
            <w:r>
              <w:rPr>
                <w:rFonts w:hint="eastAsia" w:ascii="黑体" w:eastAsia="黑体"/>
                <w:szCs w:val="21"/>
              </w:rPr>
              <w:t>好；</w:t>
            </w:r>
            <w:r>
              <w:rPr>
                <w:rFonts w:ascii="黑体" w:eastAsia="黑体"/>
                <w:sz w:val="36"/>
                <w:szCs w:val="36"/>
              </w:rPr>
              <w:t>□</w:t>
            </w:r>
            <w:r>
              <w:rPr>
                <w:rFonts w:hint="eastAsia" w:ascii="黑体" w:eastAsia="黑体"/>
                <w:szCs w:val="21"/>
              </w:rPr>
              <w:t>较好；</w:t>
            </w:r>
            <w:r>
              <w:rPr>
                <w:rFonts w:ascii="黑体" w:eastAsia="黑体"/>
                <w:sz w:val="36"/>
                <w:szCs w:val="36"/>
              </w:rPr>
              <w:t>□</w:t>
            </w:r>
            <w:r>
              <w:rPr>
                <w:rFonts w:hint="eastAsia" w:ascii="黑体" w:eastAsia="黑体"/>
                <w:szCs w:val="21"/>
              </w:rPr>
              <w:t>一般；</w:t>
            </w:r>
            <w:r>
              <w:rPr>
                <w:rFonts w:ascii="黑体" w:eastAsia="黑体"/>
                <w:sz w:val="36"/>
                <w:szCs w:val="36"/>
              </w:rPr>
              <w:t>□</w:t>
            </w:r>
            <w:r>
              <w:rPr>
                <w:rFonts w:hint="eastAsia" w:ascii="黑体" w:eastAsia="黑体"/>
                <w:szCs w:val="21"/>
              </w:rPr>
              <w:t>较差。</w:t>
            </w:r>
          </w:p>
          <w:p w14:paraId="5728AB84">
            <w:pPr>
              <w:bidi w:val="0"/>
              <w:spacing w:line="400" w:lineRule="exact"/>
              <w:rPr>
                <w:rFonts w:hint="eastAsia" w:eastAsia="黑体"/>
                <w:szCs w:val="21"/>
              </w:rPr>
            </w:pPr>
            <w:r>
              <w:rPr>
                <w:rFonts w:hint="eastAsia" w:eastAsia="黑体"/>
                <w:szCs w:val="21"/>
              </w:rPr>
              <w:t xml:space="preserve">  （在相应的方块内作记号“</w:t>
            </w:r>
            <w:r>
              <w:rPr>
                <w:rFonts w:ascii="黑体" w:eastAsia="黑体"/>
                <w:szCs w:val="21"/>
              </w:rPr>
              <w:t>√</w:t>
            </w:r>
            <w:r>
              <w:rPr>
                <w:rFonts w:hint="eastAsia" w:eastAsia="黑体"/>
                <w:szCs w:val="21"/>
              </w:rPr>
              <w:t>”）</w:t>
            </w:r>
          </w:p>
        </w:tc>
      </w:tr>
      <w:tr w14:paraId="3B608863">
        <w:tblPrEx>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97" w:hRule="atLeast"/>
        </w:trPr>
        <w:tc>
          <w:tcPr>
            <w:tcW w:w="765" w:type="dxa"/>
            <w:noWrap w:val="0"/>
            <w:vAlign w:val="center"/>
          </w:tcPr>
          <w:p w14:paraId="0C16F57F">
            <w:pPr>
              <w:bidi w:val="0"/>
              <w:spacing w:line="1000" w:lineRule="exact"/>
              <w:jc w:val="center"/>
              <w:rPr>
                <w:rFonts w:hint="eastAsia" w:eastAsia="黑体"/>
                <w:sz w:val="28"/>
                <w:szCs w:val="28"/>
              </w:rPr>
            </w:pPr>
            <w:r>
              <w:rPr>
                <w:rFonts w:hint="eastAsia" w:eastAsia="黑体"/>
                <w:sz w:val="28"/>
                <w:szCs w:val="28"/>
              </w:rPr>
              <w:t>评议结论</w:t>
            </w:r>
          </w:p>
        </w:tc>
        <w:tc>
          <w:tcPr>
            <w:tcW w:w="8521" w:type="dxa"/>
            <w:noWrap w:val="0"/>
            <w:vAlign w:val="top"/>
          </w:tcPr>
          <w:p w14:paraId="4831197B">
            <w:pPr>
              <w:bidi w:val="0"/>
              <w:spacing w:line="500" w:lineRule="exact"/>
              <w:rPr>
                <w:rFonts w:hint="eastAsia" w:eastAsia="黑体"/>
                <w:sz w:val="28"/>
                <w:szCs w:val="28"/>
              </w:rPr>
            </w:pPr>
          </w:p>
          <w:p w14:paraId="05B7283F">
            <w:pPr>
              <w:bidi w:val="0"/>
              <w:spacing w:line="500" w:lineRule="exact"/>
              <w:rPr>
                <w:rFonts w:hint="eastAsia" w:eastAsia="黑体"/>
                <w:sz w:val="28"/>
                <w:szCs w:val="28"/>
              </w:rPr>
            </w:pPr>
          </w:p>
          <w:p w14:paraId="330B76DB">
            <w:pPr>
              <w:bidi w:val="0"/>
              <w:spacing w:line="500" w:lineRule="exact"/>
              <w:rPr>
                <w:rFonts w:hint="eastAsia" w:eastAsia="黑体"/>
                <w:sz w:val="28"/>
                <w:szCs w:val="28"/>
              </w:rPr>
            </w:pPr>
          </w:p>
          <w:p w14:paraId="3CE59800">
            <w:pPr>
              <w:bidi w:val="0"/>
              <w:spacing w:line="500" w:lineRule="exact"/>
              <w:rPr>
                <w:rFonts w:hint="eastAsia" w:eastAsia="黑体"/>
                <w:sz w:val="28"/>
                <w:szCs w:val="28"/>
              </w:rPr>
            </w:pPr>
          </w:p>
          <w:p w14:paraId="0641369A">
            <w:pPr>
              <w:bidi w:val="0"/>
              <w:spacing w:line="500" w:lineRule="exact"/>
              <w:rPr>
                <w:rFonts w:hint="eastAsia" w:eastAsia="黑体"/>
                <w:sz w:val="28"/>
                <w:szCs w:val="28"/>
              </w:rPr>
            </w:pPr>
          </w:p>
          <w:p w14:paraId="57511047">
            <w:pPr>
              <w:bidi w:val="0"/>
              <w:spacing w:line="500" w:lineRule="exact"/>
              <w:rPr>
                <w:rFonts w:hint="eastAsia" w:eastAsia="黑体"/>
                <w:sz w:val="28"/>
                <w:szCs w:val="28"/>
              </w:rPr>
            </w:pPr>
          </w:p>
          <w:p w14:paraId="5654CBC0">
            <w:pPr>
              <w:bidi w:val="0"/>
              <w:spacing w:line="500" w:lineRule="exact"/>
              <w:rPr>
                <w:rFonts w:hint="eastAsia" w:eastAsia="黑体"/>
                <w:sz w:val="28"/>
                <w:szCs w:val="28"/>
              </w:rPr>
            </w:pPr>
          </w:p>
          <w:p w14:paraId="35DDFABE">
            <w:pPr>
              <w:bidi w:val="0"/>
              <w:spacing w:line="500" w:lineRule="exact"/>
              <w:rPr>
                <w:rFonts w:hint="eastAsia" w:eastAsia="黑体"/>
                <w:sz w:val="28"/>
                <w:szCs w:val="28"/>
              </w:rPr>
            </w:pPr>
            <w:r>
              <w:rPr>
                <w:rFonts w:hint="eastAsia" w:eastAsia="黑体"/>
                <w:sz w:val="28"/>
                <w:szCs w:val="28"/>
              </w:rPr>
              <w:t>评议小组组长签名：</w:t>
            </w:r>
            <w:r>
              <w:rPr>
                <w:rFonts w:hint="eastAsia" w:eastAsia="黑体"/>
                <w:sz w:val="28"/>
                <w:szCs w:val="28"/>
                <w:u w:val="single"/>
              </w:rPr>
              <w:t xml:space="preserve">              </w:t>
            </w:r>
            <w:r>
              <w:rPr>
                <w:rFonts w:hint="eastAsia" w:eastAsia="黑体"/>
                <w:sz w:val="28"/>
                <w:szCs w:val="28"/>
              </w:rPr>
              <w:t xml:space="preserve">     二</w:t>
            </w:r>
            <w:r>
              <w:rPr>
                <w:rFonts w:ascii="黑体" w:eastAsia="黑体"/>
                <w:sz w:val="28"/>
                <w:szCs w:val="28"/>
              </w:rPr>
              <w:t>〇</w:t>
            </w:r>
            <w:r>
              <w:rPr>
                <w:rFonts w:hint="eastAsia" w:ascii="黑体" w:eastAsia="黑体"/>
                <w:sz w:val="28"/>
                <w:szCs w:val="28"/>
              </w:rPr>
              <w:t xml:space="preserve">  </w:t>
            </w:r>
            <w:r>
              <w:rPr>
                <w:rFonts w:hint="eastAsia" w:eastAsia="黑体"/>
                <w:sz w:val="28"/>
                <w:szCs w:val="28"/>
              </w:rPr>
              <w:t xml:space="preserve">   年    月    日</w:t>
            </w:r>
          </w:p>
        </w:tc>
      </w:tr>
    </w:tbl>
    <w:p w14:paraId="7508BE72">
      <w:pPr>
        <w:bidi w:val="0"/>
        <w:spacing w:line="500" w:lineRule="exact"/>
        <w:rPr>
          <w:rFonts w:hint="eastAsia"/>
        </w:rPr>
      </w:pPr>
    </w:p>
    <w:sectPr>
      <w:headerReference r:id="rId5" w:type="first"/>
      <w:headerReference r:id="rId3" w:type="default"/>
      <w:footerReference r:id="rId6" w:type="default"/>
      <w:headerReference r:id="rId4" w:type="even"/>
      <w:footerReference r:id="rId7" w:type="even"/>
      <w:pgSz w:w="11906" w:h="16838"/>
      <w:pgMar w:top="1418" w:right="1418" w:bottom="1418" w:left="1418"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Gulim">
    <w:panose1 w:val="020B0600000101010101"/>
    <w:charset w:val="81"/>
    <w:family w:val="auto"/>
    <w:pitch w:val="default"/>
    <w:sig w:usb0="B00002AF" w:usb1="69D77CFB" w:usb2="00000030" w:usb3="00000000" w:csb0="4008009F" w:csb1="DFD7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A8EF9">
    <w:pPr>
      <w:pStyle w:val="2"/>
      <w:framePr w:wrap="around" w:vAnchor="text" w:hAnchor="margin" w:xAlign="center" w:y="1"/>
      <w:bidi w:val="0"/>
      <w:rPr>
        <w:rStyle w:val="7"/>
      </w:rPr>
    </w:pPr>
    <w:r>
      <w:rPr>
        <w:rStyle w:val="7"/>
      </w:rPr>
      <w:fldChar w:fldCharType="begin"/>
    </w:r>
    <w:r>
      <w:rPr>
        <w:rStyle w:val="7"/>
      </w:rPr>
      <w:instrText xml:space="preserve">PAGE  </w:instrText>
    </w:r>
    <w:r>
      <w:rPr>
        <w:rStyle w:val="7"/>
      </w:rPr>
      <w:fldChar w:fldCharType="separate"/>
    </w:r>
    <w:r>
      <w:rPr>
        <w:rStyle w:val="7"/>
        <w:lang/>
      </w:rPr>
      <w:t>2</w:t>
    </w:r>
    <w:r>
      <w:rPr>
        <w:rStyle w:val="7"/>
      </w:rPr>
      <w:fldChar w:fldCharType="end"/>
    </w:r>
  </w:p>
  <w:p w14:paraId="5027DFF2">
    <w:pPr>
      <w:pStyle w:val="2"/>
      <w:bidi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76423">
    <w:pPr>
      <w:pStyle w:val="2"/>
      <w:framePr w:wrap="around" w:vAnchor="text" w:hAnchor="margin" w:xAlign="center" w:y="1"/>
      <w:bidi w:val="0"/>
      <w:rPr>
        <w:rStyle w:val="7"/>
      </w:rPr>
    </w:pPr>
    <w:r>
      <w:rPr>
        <w:rStyle w:val="7"/>
      </w:rPr>
      <w:fldChar w:fldCharType="begin"/>
    </w:r>
    <w:r>
      <w:rPr>
        <w:rStyle w:val="7"/>
      </w:rPr>
      <w:instrText xml:space="preserve">PAGE  </w:instrText>
    </w:r>
    <w:r>
      <w:rPr>
        <w:rStyle w:val="7"/>
      </w:rPr>
      <w:fldChar w:fldCharType="separate"/>
    </w:r>
    <w:r>
      <w:rPr>
        <w:rStyle w:val="7"/>
      </w:rPr>
      <w:fldChar w:fldCharType="end"/>
    </w:r>
  </w:p>
  <w:p w14:paraId="5D6B88F2">
    <w:pPr>
      <w:pStyle w:val="2"/>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9E01C">
    <w:pPr>
      <w:bidi w:val="0"/>
      <w:jc w:val="right"/>
      <w:rPr>
        <w:rFonts w:hint="eastAsia" w:ascii="楷体_GB2312" w:eastAsia="楷体_GB2312"/>
        <w:sz w:val="24"/>
      </w:rPr>
    </w:pPr>
    <w:r>
      <w:rPr>
        <w:rFonts w:hint="eastAsia" w:ascii="楷体_GB2312" w:eastAsia="楷体_GB2312"/>
        <w:sz w:val="24"/>
        <w:lang/>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7143750" cy="7143750"/>
          <wp:effectExtent l="0" t="0" r="0" b="0"/>
          <wp:wrapNone/>
          <wp:docPr id="3" name="WordPictureWatermark43069647"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43069647"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B4FA">
    <w:pPr>
      <w:pStyle w:val="3"/>
      <w:bidi w:val="0"/>
    </w:pPr>
    <w:r>
      <w:rPr>
        <w:lang/>
      </w:rP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7143750" cy="7143750"/>
          <wp:effectExtent l="0" t="0" r="0" b="0"/>
          <wp:wrapNone/>
          <wp:docPr id="2" name="WordPictureWatermark43069646"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43069646"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75567">
    <w:pPr>
      <w:bidi w:val="0"/>
      <w:jc w:val="right"/>
      <w:rPr>
        <w:rFonts w:hint="eastAsia" w:ascii="楷体_GB2312" w:eastAsia="楷体_GB2312"/>
        <w:sz w:val="24"/>
      </w:rPr>
    </w:pPr>
    <w:r>
      <w:rPr>
        <w:rFonts w:hint="eastAsia" w:ascii="楷体_GB2312" w:eastAsia="楷体_GB2312"/>
        <w:sz w:val="24"/>
        <w:lang/>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7143750" cy="7143750"/>
          <wp:effectExtent l="0" t="0" r="0" b="0"/>
          <wp:wrapNone/>
          <wp:docPr id="1" name="WordPictureWatermark43069645"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43069645" descr="水印"/>
                  <pic:cNvPicPr>
                    <a:picLocks noChangeAspect="1"/>
                  </pic:cNvPicPr>
                </pic:nvPicPr>
                <pic:blipFill>
                  <a:blip r:embed="rId1"/>
                  <a:stretch>
                    <a:fillRect/>
                  </a:stretch>
                </pic:blipFill>
                <pic:spPr>
                  <a:xfrm>
                    <a:off x="0" y="0"/>
                    <a:ext cx="7143750" cy="7143750"/>
                  </a:xfrm>
                  <a:prstGeom prst="rect">
                    <a:avLst/>
                  </a:prstGeom>
                  <a:noFill/>
                  <a:ln>
                    <a:noFill/>
                  </a:ln>
                </pic:spPr>
              </pic:pic>
            </a:graphicData>
          </a:graphic>
        </wp:anchor>
      </w:drawing>
    </w:r>
    <w:r>
      <w:rPr>
        <w:rFonts w:hint="eastAsia" w:ascii="楷体_GB2312" w:eastAsia="楷体_GB2312"/>
        <w:sz w:val="24"/>
      </w:rPr>
      <w:t>培养材料之二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90EC31"/>
    <w:multiLevelType w:val="singleLevel"/>
    <w:tmpl w:val="C290EC31"/>
    <w:lvl w:ilvl="0" w:tentative="0">
      <w:start w:val="30"/>
      <w:numFmt w:val="decimal"/>
      <w:suff w:val="space"/>
      <w:lvlText w:val="[%1]"/>
      <w:lvlJc w:val="left"/>
    </w:lvl>
  </w:abstractNum>
  <w:abstractNum w:abstractNumId="1">
    <w:nsid w:val="E3EBE0CD"/>
    <w:multiLevelType w:val="singleLevel"/>
    <w:tmpl w:val="E3EBE0CD"/>
    <w:lvl w:ilvl="0" w:tentative="0">
      <w:start w:val="1"/>
      <w:numFmt w:val="decimal"/>
      <w:suff w:val="nothing"/>
      <w:lvlText w:val="（%1）"/>
      <w:lvlJc w:val="left"/>
    </w:lvl>
  </w:abstractNum>
  <w:abstractNum w:abstractNumId="2">
    <w:nsid w:val="307BB610"/>
    <w:multiLevelType w:val="singleLevel"/>
    <w:tmpl w:val="307BB610"/>
    <w:lvl w:ilvl="0" w:tentative="0">
      <w:start w:val="1"/>
      <w:numFmt w:val="decimal"/>
      <w:suff w:val="nothing"/>
      <w:lvlText w:val="（%1）"/>
      <w:lvlJc w:val="left"/>
    </w:lvl>
  </w:abstractNum>
  <w:abstractNum w:abstractNumId="3">
    <w:nsid w:val="3156B939"/>
    <w:multiLevelType w:val="singleLevel"/>
    <w:tmpl w:val="3156B939"/>
    <w:lvl w:ilvl="0" w:tentative="0">
      <w:start w:val="4"/>
      <w:numFmt w:val="chineseCounting"/>
      <w:suff w:val="nothing"/>
      <w:lvlText w:val="%1、"/>
      <w:lvlJc w:val="left"/>
      <w:rPr>
        <w:rFonts w:hint="eastAsia"/>
      </w:rPr>
    </w:lvl>
  </w:abstractNum>
  <w:abstractNum w:abstractNumId="4">
    <w:nsid w:val="446438D9"/>
    <w:multiLevelType w:val="singleLevel"/>
    <w:tmpl w:val="446438D9"/>
    <w:lvl w:ilvl="0" w:tentative="0">
      <w:start w:val="2"/>
      <w:numFmt w:val="chineseCounting"/>
      <w:suff w:val="nothing"/>
      <w:lvlText w:val="%1、"/>
      <w:lvlJc w:val="left"/>
      <w:rPr>
        <w:rFonts w:hint="eastAsia"/>
      </w:rPr>
    </w:lvl>
  </w:abstractNum>
  <w:abstractNum w:abstractNumId="5">
    <w:nsid w:val="68097778"/>
    <w:multiLevelType w:val="singleLevel"/>
    <w:tmpl w:val="68097778"/>
    <w:lvl w:ilvl="0" w:tentative="0">
      <w:start w:val="1"/>
      <w:numFmt w:val="decimal"/>
      <w:suff w:val="space"/>
      <w:lvlText w:val="%1."/>
      <w:lvlJc w:val="left"/>
    </w:lvl>
  </w:abstractNum>
  <w:abstractNum w:abstractNumId="6">
    <w:nsid w:val="7D96B896"/>
    <w:multiLevelType w:val="singleLevel"/>
    <w:tmpl w:val="7D96B896"/>
    <w:lvl w:ilvl="0" w:tentative="0">
      <w:start w:val="2"/>
      <w:numFmt w:val="decimal"/>
      <w:suff w:val="space"/>
      <w:lvlText w:val="%1."/>
      <w:lvlJc w:val="left"/>
    </w:lvl>
  </w:abstractNum>
  <w:num w:numId="1">
    <w:abstractNumId w:val="2"/>
  </w:num>
  <w:num w:numId="2">
    <w:abstractNumId w:val="1"/>
  </w:num>
  <w:num w:numId="3">
    <w:abstractNumId w:val="5"/>
  </w:num>
  <w:num w:numId="4">
    <w:abstractNumId w:val="3"/>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C65"/>
    <w:rsid w:val="0E8D2083"/>
    <w:rsid w:val="43E32BEE"/>
    <w:rsid w:val="44EB5B39"/>
    <w:rsid w:val="70534050"/>
    <w:rsid w:val="7C3B7A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0"/>
    <w:pPr>
      <w:widowControl w:val="0"/>
      <w:jc w:val="both"/>
    </w:pPr>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Hunan University</Company>
  <Pages>13</Pages>
  <Words>1676</Words>
  <Characters>1815</Characters>
  <Lines>7</Lines>
  <Paragraphs>2</Paragraphs>
  <TotalTime>144</TotalTime>
  <ScaleCrop>false</ScaleCrop>
  <LinksUpToDate>false</LinksUpToDate>
  <CharactersWithSpaces>1826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2005-04-11T01:38:00Z</dcterms:created>
  <dc:creator>YYY</dc:creator>
  <cp:lastModifiedBy>Jisoo</cp:lastModifiedBy>
  <cp:lastPrinted>2005-04-13T07:03:00Z</cp:lastPrinted>
  <dcterms:modified xsi:type="dcterms:W3CDTF">2025-12-05T04:37:50Z</dcterms:modified>
  <dc:title>湖南大学研究生培养计划</dc:title>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eyJoZGlkIjoiMGIyN2EyZWU3NGVjNmM3MTZjMTFjZjAxZGJkZTdkYmEiLCJ1c2VySWQiOiIxMTMzMjY2MDI2In0=</vt:lpwstr>
  </property>
  <property fmtid="{D5CDD505-2E9C-101B-9397-08002B2CF9AE}" pid="3" name="KSOProductBuildVer">
    <vt:lpwstr>2052-12.1.0.24034</vt:lpwstr>
  </property>
  <property fmtid="{D5CDD505-2E9C-101B-9397-08002B2CF9AE}" pid="4" name="ICV">
    <vt:lpwstr>8B0AFFC72B3D4313B8C94AD5D73A1D02_13</vt:lpwstr>
  </property>
</Properties>
</file>