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7D026" w14:textId="77777777" w:rsidR="0020013C" w:rsidRDefault="00A867F2" w:rsidP="008B69E8">
      <w:pPr>
        <w:pStyle w:val="Title"/>
        <w:rPr>
          <w:lang w:val="es-ES_tradnl"/>
        </w:rPr>
      </w:pPr>
      <w:r>
        <w:rPr>
          <w:lang w:val="es-ES_tradnl"/>
        </w:rPr>
        <w:t xml:space="preserve">Presentaciones para Tópicos </w:t>
      </w:r>
      <w:r w:rsidR="00553BEA">
        <w:rPr>
          <w:lang w:val="es-ES_tradnl"/>
        </w:rPr>
        <w:t>de</w:t>
      </w:r>
      <w:r w:rsidR="008B69E8">
        <w:rPr>
          <w:lang w:val="es-ES_tradnl"/>
        </w:rPr>
        <w:t xml:space="preserve"> Economía Aplicada</w:t>
      </w:r>
    </w:p>
    <w:p w14:paraId="34D90624" w14:textId="77777777" w:rsidR="004C6C54" w:rsidRDefault="00192D5B" w:rsidP="004C6C54">
      <w:pPr>
        <w:spacing w:before="120"/>
        <w:jc w:val="both"/>
        <w:rPr>
          <w:lang w:val="es-ES_tradnl"/>
        </w:rPr>
      </w:pPr>
      <w:r>
        <w:rPr>
          <w:lang w:val="es-ES_tradnl"/>
        </w:rPr>
        <w:t xml:space="preserve">Durante el curso habrá </w:t>
      </w:r>
      <w:r w:rsidR="00A867F2">
        <w:rPr>
          <w:lang w:val="es-ES_tradnl"/>
        </w:rPr>
        <w:t>presentaciones de artículos sobre economía laboral, distribución del ingreso y pobreza</w:t>
      </w:r>
      <w:r w:rsidR="004C6C54">
        <w:rPr>
          <w:lang w:val="es-ES_tradnl"/>
        </w:rPr>
        <w:t xml:space="preserve">, en grupos. La calificación de este trabajo representará el 10% de la calificación final del curso.  </w:t>
      </w:r>
    </w:p>
    <w:p w14:paraId="04CD5FBC" w14:textId="77777777" w:rsidR="004C6C54" w:rsidRDefault="004C6C54" w:rsidP="00416B89">
      <w:pPr>
        <w:spacing w:before="120"/>
        <w:jc w:val="both"/>
        <w:rPr>
          <w:lang w:val="es-ES_tradnl"/>
        </w:rPr>
      </w:pPr>
    </w:p>
    <w:p w14:paraId="55DE5BCE" w14:textId="34B4CC07" w:rsidR="00A867F2" w:rsidRDefault="00192D5B" w:rsidP="001A396F">
      <w:pPr>
        <w:spacing w:before="120"/>
        <w:jc w:val="both"/>
        <w:rPr>
          <w:lang w:val="es-ES_tradnl"/>
        </w:rPr>
      </w:pPr>
      <w:r>
        <w:rPr>
          <w:lang w:val="es-ES_tradnl"/>
        </w:rPr>
        <w:t>La primera semana del curso, l</w:t>
      </w:r>
      <w:r w:rsidR="00A867F2">
        <w:rPr>
          <w:lang w:val="es-ES_tradnl"/>
        </w:rPr>
        <w:t>os alumnos deben juntarse en grupos para elegir 3 alternativas de presentación</w:t>
      </w:r>
      <w:r w:rsidR="0018711F">
        <w:rPr>
          <w:lang w:val="es-ES_tradnl"/>
        </w:rPr>
        <w:t xml:space="preserve">. </w:t>
      </w:r>
      <w:r w:rsidR="00491756">
        <w:rPr>
          <w:lang w:val="es-ES_tradnl"/>
        </w:rPr>
        <w:t xml:space="preserve">Los grupos serán de </w:t>
      </w:r>
      <w:r w:rsidR="001A396F">
        <w:rPr>
          <w:lang w:val="es-ES_tradnl"/>
        </w:rPr>
        <w:t>5</w:t>
      </w:r>
      <w:r w:rsidR="00416B89">
        <w:rPr>
          <w:lang w:val="es-ES_tradnl"/>
        </w:rPr>
        <w:t xml:space="preserve"> ó </w:t>
      </w:r>
      <w:r w:rsidR="001A396F">
        <w:rPr>
          <w:lang w:val="es-ES_tradnl"/>
        </w:rPr>
        <w:t>6</w:t>
      </w:r>
      <w:r w:rsidR="00416B89">
        <w:rPr>
          <w:lang w:val="es-ES_tradnl"/>
        </w:rPr>
        <w:t xml:space="preserve"> alumnos</w:t>
      </w:r>
      <w:r w:rsidR="00491756">
        <w:rPr>
          <w:lang w:val="es-ES_tradnl"/>
        </w:rPr>
        <w:t xml:space="preserve">. </w:t>
      </w:r>
      <w:r w:rsidR="00955DFB">
        <w:rPr>
          <w:lang w:val="es-ES_tradnl"/>
        </w:rPr>
        <w:t xml:space="preserve">Cada </w:t>
      </w:r>
      <w:r w:rsidR="00491756">
        <w:rPr>
          <w:lang w:val="es-ES_tradnl"/>
        </w:rPr>
        <w:t xml:space="preserve">grupo debe subir su elección de 3 alternativas antes del </w:t>
      </w:r>
      <w:r w:rsidR="001A396F">
        <w:rPr>
          <w:lang w:val="es-ES_tradnl"/>
        </w:rPr>
        <w:t>viernes</w:t>
      </w:r>
      <w:r w:rsidR="00416B89">
        <w:rPr>
          <w:lang w:val="es-ES_tradnl"/>
        </w:rPr>
        <w:t xml:space="preserve"> </w:t>
      </w:r>
      <w:r w:rsidR="007D76F4">
        <w:rPr>
          <w:lang w:val="es-ES_tradnl"/>
        </w:rPr>
        <w:t>12</w:t>
      </w:r>
      <w:r w:rsidR="00416B89">
        <w:rPr>
          <w:lang w:val="es-ES_tradnl"/>
        </w:rPr>
        <w:t xml:space="preserve"> </w:t>
      </w:r>
      <w:r w:rsidR="00491756">
        <w:rPr>
          <w:lang w:val="es-ES_tradnl"/>
        </w:rPr>
        <w:t xml:space="preserve">de </w:t>
      </w:r>
      <w:r>
        <w:rPr>
          <w:lang w:val="es-ES_tradnl"/>
        </w:rPr>
        <w:t xml:space="preserve">agosto </w:t>
      </w:r>
      <w:r w:rsidR="00491756">
        <w:rPr>
          <w:lang w:val="es-ES_tradnl"/>
        </w:rPr>
        <w:t>de 20</w:t>
      </w:r>
      <w:r w:rsidR="001C2AAF">
        <w:rPr>
          <w:lang w:val="es-ES_tradnl"/>
        </w:rPr>
        <w:t>2</w:t>
      </w:r>
      <w:r w:rsidR="007D76F4">
        <w:rPr>
          <w:lang w:val="es-ES_tradnl"/>
        </w:rPr>
        <w:t>2</w:t>
      </w:r>
      <w:r w:rsidR="001A396F">
        <w:rPr>
          <w:lang w:val="es-ES_tradnl"/>
        </w:rPr>
        <w:t>, enviándola por mail (un mail por grupo) a hruffo@utdt.edu</w:t>
      </w:r>
      <w:r w:rsidR="00491756">
        <w:rPr>
          <w:lang w:val="es-ES_tradnl"/>
        </w:rPr>
        <w:t>.</w:t>
      </w:r>
      <w:r w:rsidR="00955DFB">
        <w:rPr>
          <w:lang w:val="es-ES_tradnl"/>
        </w:rPr>
        <w:t xml:space="preserve"> </w:t>
      </w:r>
      <w:r w:rsidR="00416B89">
        <w:rPr>
          <w:lang w:val="es-ES_tradnl"/>
        </w:rPr>
        <w:t xml:space="preserve"> </w:t>
      </w:r>
      <w:r w:rsidR="001A396F">
        <w:rPr>
          <w:lang w:val="es-ES_tradnl"/>
        </w:rPr>
        <w:t xml:space="preserve">Pueden ver el listado de los artículos </w:t>
      </w:r>
      <w:r w:rsidR="007D76F4">
        <w:rPr>
          <w:lang w:val="es-ES_tradnl"/>
        </w:rPr>
        <w:t>más abajo</w:t>
      </w:r>
      <w:r w:rsidR="001A396F">
        <w:rPr>
          <w:lang w:val="es-ES_tradnl"/>
        </w:rPr>
        <w:t xml:space="preserve">. </w:t>
      </w:r>
    </w:p>
    <w:p w14:paraId="4E74C3A1" w14:textId="773B2D52" w:rsidR="00A807BE" w:rsidRDefault="007D76F4" w:rsidP="00416B89">
      <w:pPr>
        <w:spacing w:before="120"/>
        <w:jc w:val="both"/>
        <w:rPr>
          <w:lang w:val="es-ES_tradnl"/>
        </w:rPr>
      </w:pPr>
      <w:r>
        <w:rPr>
          <w:lang w:val="es-ES_tradnl"/>
        </w:rPr>
        <w:t xml:space="preserve">Se </w:t>
      </w:r>
      <w:r w:rsidR="00A867F2">
        <w:rPr>
          <w:lang w:val="es-ES_tradnl"/>
        </w:rPr>
        <w:t>asigna</w:t>
      </w:r>
      <w:r>
        <w:rPr>
          <w:lang w:val="es-ES_tradnl"/>
        </w:rPr>
        <w:t>rá</w:t>
      </w:r>
      <w:r w:rsidR="00A867F2">
        <w:rPr>
          <w:lang w:val="es-ES_tradnl"/>
        </w:rPr>
        <w:t xml:space="preserve"> el artículo </w:t>
      </w:r>
      <w:r>
        <w:rPr>
          <w:lang w:val="es-ES_tradnl"/>
        </w:rPr>
        <w:t xml:space="preserve">y una fecha tentativa para la presentación a cada </w:t>
      </w:r>
      <w:r w:rsidR="00A867F2">
        <w:rPr>
          <w:lang w:val="es-ES_tradnl"/>
        </w:rPr>
        <w:t>grupo</w:t>
      </w:r>
      <w:r w:rsidR="00A807BE">
        <w:rPr>
          <w:lang w:val="es-ES_tradnl"/>
        </w:rPr>
        <w:t xml:space="preserve">. </w:t>
      </w:r>
      <w:r w:rsidR="001C2AAF">
        <w:rPr>
          <w:lang w:val="es-ES_tradnl"/>
        </w:rPr>
        <w:t xml:space="preserve">Se pedirá que en la presentación se realice una </w:t>
      </w:r>
      <w:r w:rsidR="009515EE">
        <w:rPr>
          <w:lang w:val="es-ES_tradnl"/>
        </w:rPr>
        <w:t xml:space="preserve">replicación de </w:t>
      </w:r>
      <w:r w:rsidR="001C2AAF">
        <w:rPr>
          <w:lang w:val="es-ES_tradnl"/>
        </w:rPr>
        <w:t xml:space="preserve">algunos </w:t>
      </w:r>
      <w:r w:rsidR="009515EE">
        <w:rPr>
          <w:lang w:val="es-ES_tradnl"/>
        </w:rPr>
        <w:t>resultados</w:t>
      </w:r>
      <w:r w:rsidR="001C2AAF">
        <w:rPr>
          <w:lang w:val="es-ES_tradnl"/>
        </w:rPr>
        <w:t xml:space="preserve"> del documento</w:t>
      </w:r>
      <w:r w:rsidR="009515EE">
        <w:rPr>
          <w:lang w:val="es-ES_tradnl"/>
        </w:rPr>
        <w:t xml:space="preserve">. </w:t>
      </w:r>
    </w:p>
    <w:p w14:paraId="7081D080" w14:textId="77777777" w:rsidR="001C2AAF" w:rsidRDefault="00A807BE" w:rsidP="001C2AAF">
      <w:pPr>
        <w:spacing w:before="120"/>
        <w:rPr>
          <w:lang w:val="es-ES_tradnl"/>
        </w:rPr>
      </w:pPr>
      <w:r>
        <w:rPr>
          <w:lang w:val="es-ES_tradnl"/>
        </w:rPr>
        <w:t xml:space="preserve">El grupo </w:t>
      </w:r>
      <w:r w:rsidR="00A867F2">
        <w:rPr>
          <w:lang w:val="es-ES_tradnl"/>
        </w:rPr>
        <w:t>debe hacer una breve reseña que debe entregar en el campus virtual al menos dos días hábiles antes de la presentación.</w:t>
      </w:r>
      <w:r w:rsidR="00416B89">
        <w:rPr>
          <w:lang w:val="es-ES_tradnl"/>
        </w:rPr>
        <w:t xml:space="preserve"> </w:t>
      </w:r>
      <w:r w:rsidR="009515EE">
        <w:rPr>
          <w:lang w:val="es-ES_tradnl"/>
        </w:rPr>
        <w:t>La misma debe tener una sección específica de replicación</w:t>
      </w:r>
      <w:r w:rsidR="001C2AAF">
        <w:rPr>
          <w:lang w:val="es-ES_tradnl"/>
        </w:rPr>
        <w:t xml:space="preserve"> y/o extensión de los resultados</w:t>
      </w:r>
      <w:r w:rsidR="009515EE">
        <w:rPr>
          <w:lang w:val="es-ES_tradnl"/>
        </w:rPr>
        <w:t xml:space="preserve">, incluyendo la tabla. </w:t>
      </w:r>
      <w:r w:rsidR="001C2AAF">
        <w:rPr>
          <w:lang w:val="es-ES_tradnl"/>
        </w:rPr>
        <w:t>Además, también se pide que la entrega incluya (aparte) un archivo de STATA .do con el trabajo de replicación.</w:t>
      </w:r>
    </w:p>
    <w:p w14:paraId="3F28B69C" w14:textId="77777777" w:rsidR="00416B89" w:rsidRDefault="00A867F2" w:rsidP="00416B89">
      <w:pPr>
        <w:spacing w:before="120"/>
        <w:jc w:val="both"/>
        <w:rPr>
          <w:lang w:val="es-ES_tradnl"/>
        </w:rPr>
      </w:pPr>
      <w:r>
        <w:rPr>
          <w:lang w:val="es-ES_tradnl"/>
        </w:rPr>
        <w:t xml:space="preserve">Las presentaciones serán planeadas para </w:t>
      </w:r>
      <w:r w:rsidR="001C2AAF">
        <w:rPr>
          <w:lang w:val="es-ES_tradnl"/>
        </w:rPr>
        <w:t>25</w:t>
      </w:r>
      <w:r>
        <w:rPr>
          <w:lang w:val="es-ES_tradnl"/>
        </w:rPr>
        <w:t xml:space="preserve"> minutos. Durante y luego de la presentación se harán preguntas de parte d</w:t>
      </w:r>
      <w:r w:rsidR="00416B89">
        <w:rPr>
          <w:lang w:val="es-ES_tradnl"/>
        </w:rPr>
        <w:t xml:space="preserve">el profesor y/o de los alumnos. </w:t>
      </w:r>
      <w:r>
        <w:rPr>
          <w:lang w:val="es-ES_tradnl"/>
        </w:rPr>
        <w:t>La calificación será individual y basada en la reseña, la presentación y la respuesta a las preguntas.</w:t>
      </w:r>
      <w:r w:rsidR="009515EE">
        <w:rPr>
          <w:lang w:val="es-ES_tradnl"/>
        </w:rPr>
        <w:t xml:space="preserve"> La replicación definirá parte de la nota.</w:t>
      </w:r>
    </w:p>
    <w:p w14:paraId="17F25F1B" w14:textId="77777777" w:rsidR="00955DFB" w:rsidRDefault="00955DFB" w:rsidP="00416B89">
      <w:pPr>
        <w:spacing w:before="120"/>
        <w:jc w:val="both"/>
        <w:rPr>
          <w:lang w:val="es-ES_tradnl"/>
        </w:rPr>
      </w:pPr>
    </w:p>
    <w:p w14:paraId="48375FE1" w14:textId="77777777" w:rsidR="001C2AAF" w:rsidRDefault="001C2AAF">
      <w:pPr>
        <w:spacing w:after="200" w:line="276" w:lineRule="auto"/>
        <w:rPr>
          <w:lang w:val="es-ES_tradnl"/>
        </w:rPr>
      </w:pPr>
      <w:r>
        <w:rPr>
          <w:lang w:val="es-ES_tradnl"/>
        </w:rPr>
        <w:br w:type="page"/>
      </w:r>
    </w:p>
    <w:p w14:paraId="0F66291C" w14:textId="77777777" w:rsidR="00192D5B" w:rsidRDefault="00192D5B" w:rsidP="00416B89">
      <w:pPr>
        <w:spacing w:before="120"/>
        <w:rPr>
          <w:lang w:val="es-ES_tradnl"/>
        </w:rPr>
      </w:pPr>
    </w:p>
    <w:p w14:paraId="5D43E000" w14:textId="77777777" w:rsidR="00FD2B66" w:rsidRDefault="009B2440" w:rsidP="008B69E8">
      <w:pPr>
        <w:rPr>
          <w:b/>
          <w:lang w:val="es-ES_tradnl"/>
        </w:rPr>
      </w:pPr>
      <w:r w:rsidRPr="009B2440">
        <w:rPr>
          <w:b/>
          <w:lang w:val="es-ES_tradnl"/>
        </w:rPr>
        <w:t xml:space="preserve">Alternativas </w:t>
      </w:r>
      <w:r>
        <w:rPr>
          <w:b/>
          <w:lang w:val="es-ES_tradnl"/>
        </w:rPr>
        <w:t>propuestas para las presentaciones</w:t>
      </w:r>
      <w:r w:rsidR="00FD2B66">
        <w:rPr>
          <w:b/>
          <w:lang w:val="es-ES_tradnl"/>
        </w:rPr>
        <w:t xml:space="preserve">: </w:t>
      </w:r>
    </w:p>
    <w:p w14:paraId="0FF54F1F" w14:textId="77777777" w:rsidR="001C2AAF" w:rsidRDefault="001C2AAF" w:rsidP="008B69E8">
      <w:pPr>
        <w:rPr>
          <w:b/>
          <w:lang w:val="es-ES_tradnl"/>
        </w:rPr>
      </w:pPr>
    </w:p>
    <w:tbl>
      <w:tblPr>
        <w:tblStyle w:val="TableGrid"/>
        <w:tblW w:w="0" w:type="auto"/>
        <w:tblLayout w:type="fixed"/>
        <w:tblLook w:val="04A0" w:firstRow="1" w:lastRow="0" w:firstColumn="1" w:lastColumn="0" w:noHBand="0" w:noVBand="1"/>
      </w:tblPr>
      <w:tblGrid>
        <w:gridCol w:w="2235"/>
        <w:gridCol w:w="1275"/>
        <w:gridCol w:w="4820"/>
        <w:gridCol w:w="1246"/>
      </w:tblGrid>
      <w:tr w:rsidR="00C834C7" w:rsidRPr="00C834C7" w14:paraId="72709E79" w14:textId="77777777" w:rsidTr="007D76F4">
        <w:trPr>
          <w:trHeight w:val="288"/>
        </w:trPr>
        <w:tc>
          <w:tcPr>
            <w:tcW w:w="2235" w:type="dxa"/>
            <w:noWrap/>
            <w:hideMark/>
          </w:tcPr>
          <w:p w14:paraId="50E91A0C" w14:textId="77777777" w:rsidR="00C834C7" w:rsidRPr="00C834C7" w:rsidRDefault="00C834C7" w:rsidP="00C834C7">
            <w:pPr>
              <w:rPr>
                <w:b/>
                <w:bCs/>
                <w:sz w:val="20"/>
                <w:szCs w:val="20"/>
                <w:lang w:val="en-US"/>
              </w:rPr>
            </w:pPr>
            <w:r w:rsidRPr="00C834C7">
              <w:rPr>
                <w:b/>
                <w:bCs/>
                <w:sz w:val="20"/>
                <w:szCs w:val="20"/>
              </w:rPr>
              <w:t xml:space="preserve">Título </w:t>
            </w:r>
          </w:p>
        </w:tc>
        <w:tc>
          <w:tcPr>
            <w:tcW w:w="1275" w:type="dxa"/>
            <w:noWrap/>
            <w:hideMark/>
          </w:tcPr>
          <w:p w14:paraId="19992AA2" w14:textId="77777777" w:rsidR="00C834C7" w:rsidRPr="00C834C7" w:rsidRDefault="00C834C7">
            <w:pPr>
              <w:rPr>
                <w:b/>
                <w:bCs/>
                <w:sz w:val="16"/>
                <w:szCs w:val="16"/>
              </w:rPr>
            </w:pPr>
            <w:r w:rsidRPr="00C834C7">
              <w:rPr>
                <w:b/>
                <w:bCs/>
                <w:sz w:val="16"/>
                <w:szCs w:val="16"/>
              </w:rPr>
              <w:t>Tema</w:t>
            </w:r>
          </w:p>
        </w:tc>
        <w:tc>
          <w:tcPr>
            <w:tcW w:w="4820" w:type="dxa"/>
            <w:noWrap/>
            <w:hideMark/>
          </w:tcPr>
          <w:p w14:paraId="24054E63" w14:textId="77777777" w:rsidR="00C834C7" w:rsidRPr="00C834C7" w:rsidRDefault="00C834C7">
            <w:pPr>
              <w:rPr>
                <w:b/>
                <w:bCs/>
                <w:sz w:val="12"/>
                <w:szCs w:val="12"/>
              </w:rPr>
            </w:pPr>
            <w:r w:rsidRPr="00C834C7">
              <w:rPr>
                <w:b/>
                <w:bCs/>
                <w:sz w:val="12"/>
                <w:szCs w:val="12"/>
              </w:rPr>
              <w:t>Resumen</w:t>
            </w:r>
          </w:p>
        </w:tc>
        <w:tc>
          <w:tcPr>
            <w:tcW w:w="1246" w:type="dxa"/>
            <w:noWrap/>
            <w:hideMark/>
          </w:tcPr>
          <w:p w14:paraId="7A9CF504" w14:textId="77777777" w:rsidR="00C834C7" w:rsidRPr="00C834C7" w:rsidRDefault="00C834C7">
            <w:pPr>
              <w:rPr>
                <w:b/>
                <w:bCs/>
                <w:sz w:val="16"/>
                <w:szCs w:val="16"/>
              </w:rPr>
            </w:pPr>
            <w:r w:rsidRPr="00C834C7">
              <w:rPr>
                <w:b/>
                <w:bCs/>
                <w:sz w:val="16"/>
                <w:szCs w:val="16"/>
              </w:rPr>
              <w:t>Links</w:t>
            </w:r>
          </w:p>
        </w:tc>
      </w:tr>
      <w:tr w:rsidR="00C834C7" w:rsidRPr="002C04F6" w14:paraId="44519572" w14:textId="77777777" w:rsidTr="007D76F4">
        <w:trPr>
          <w:trHeight w:val="1728"/>
        </w:trPr>
        <w:tc>
          <w:tcPr>
            <w:tcW w:w="2235" w:type="dxa"/>
            <w:hideMark/>
          </w:tcPr>
          <w:p w14:paraId="657C8A41" w14:textId="77777777" w:rsidR="00C834C7" w:rsidRPr="00C834C7" w:rsidRDefault="00C834C7">
            <w:pPr>
              <w:rPr>
                <w:b/>
                <w:bCs/>
                <w:sz w:val="20"/>
                <w:szCs w:val="20"/>
                <w:lang w:val="en-US"/>
              </w:rPr>
            </w:pPr>
            <w:r w:rsidRPr="00C834C7">
              <w:rPr>
                <w:b/>
                <w:bCs/>
                <w:sz w:val="20"/>
                <w:szCs w:val="20"/>
                <w:lang w:val="en-US"/>
              </w:rPr>
              <w:t xml:space="preserve">Emmanuel </w:t>
            </w:r>
            <w:proofErr w:type="spellStart"/>
            <w:r w:rsidRPr="00C834C7">
              <w:rPr>
                <w:b/>
                <w:bCs/>
                <w:sz w:val="20"/>
                <w:szCs w:val="20"/>
                <w:lang w:val="en-US"/>
              </w:rPr>
              <w:t>Skoufias</w:t>
            </w:r>
            <w:proofErr w:type="spellEnd"/>
            <w:r w:rsidRPr="00C834C7">
              <w:rPr>
                <w:b/>
                <w:bCs/>
                <w:sz w:val="20"/>
                <w:szCs w:val="20"/>
                <w:lang w:val="en-US"/>
              </w:rPr>
              <w:t xml:space="preserve"> a &amp; Vincenzo Di </w:t>
            </w:r>
            <w:proofErr w:type="spellStart"/>
            <w:r w:rsidRPr="00C834C7">
              <w:rPr>
                <w:b/>
                <w:bCs/>
                <w:sz w:val="20"/>
                <w:szCs w:val="20"/>
                <w:lang w:val="en-US"/>
              </w:rPr>
              <w:t>Maro</w:t>
            </w:r>
            <w:proofErr w:type="spellEnd"/>
            <w:r w:rsidRPr="00C834C7">
              <w:rPr>
                <w:b/>
                <w:bCs/>
                <w:sz w:val="20"/>
                <w:szCs w:val="20"/>
                <w:lang w:val="en-US"/>
              </w:rPr>
              <w:t xml:space="preserve"> (2007) "Conditional Cash Transfers, Adult Work Incentives, and Poverty"</w:t>
            </w:r>
          </w:p>
        </w:tc>
        <w:tc>
          <w:tcPr>
            <w:tcW w:w="1275" w:type="dxa"/>
            <w:hideMark/>
          </w:tcPr>
          <w:p w14:paraId="75D0DB04" w14:textId="77777777" w:rsidR="00C834C7" w:rsidRPr="00C834C7" w:rsidRDefault="00C834C7">
            <w:pPr>
              <w:rPr>
                <w:sz w:val="16"/>
                <w:szCs w:val="16"/>
              </w:rPr>
            </w:pPr>
            <w:r w:rsidRPr="00C834C7">
              <w:rPr>
                <w:sz w:val="16"/>
                <w:szCs w:val="16"/>
              </w:rPr>
              <w:t xml:space="preserve">Oferta de trabajo Asignación aleatoria y </w:t>
            </w:r>
            <w:proofErr w:type="gramStart"/>
            <w:r w:rsidRPr="00C834C7">
              <w:rPr>
                <w:sz w:val="16"/>
                <w:szCs w:val="16"/>
              </w:rPr>
              <w:t>DD  (</w:t>
            </w:r>
            <w:proofErr w:type="gramEnd"/>
            <w:r w:rsidRPr="00C834C7">
              <w:rPr>
                <w:sz w:val="16"/>
                <w:szCs w:val="16"/>
              </w:rPr>
              <w:t xml:space="preserve">PROBIT) </w:t>
            </w:r>
          </w:p>
        </w:tc>
        <w:tc>
          <w:tcPr>
            <w:tcW w:w="4820" w:type="dxa"/>
            <w:hideMark/>
          </w:tcPr>
          <w:p w14:paraId="686F2EDF" w14:textId="77777777" w:rsidR="00C834C7" w:rsidRPr="00C834C7" w:rsidRDefault="00C834C7">
            <w:pPr>
              <w:rPr>
                <w:sz w:val="12"/>
                <w:szCs w:val="12"/>
                <w:lang w:val="en-US"/>
              </w:rPr>
            </w:pPr>
            <w:r w:rsidRPr="00C834C7">
              <w:rPr>
                <w:sz w:val="12"/>
                <w:szCs w:val="12"/>
                <w:lang w:val="en-US"/>
              </w:rPr>
              <w:t xml:space="preserve">Conditional cash transfer (CCT) </w:t>
            </w:r>
            <w:proofErr w:type="spellStart"/>
            <w:r w:rsidRPr="00C834C7">
              <w:rPr>
                <w:sz w:val="12"/>
                <w:szCs w:val="12"/>
                <w:lang w:val="en-US"/>
              </w:rPr>
              <w:t>programmes</w:t>
            </w:r>
            <w:proofErr w:type="spellEnd"/>
            <w:r w:rsidRPr="00C834C7">
              <w:rPr>
                <w:sz w:val="12"/>
                <w:szCs w:val="12"/>
                <w:lang w:val="en-US"/>
              </w:rPr>
              <w:t xml:space="preserve"> aim to alleviate poverty through monetary and in-kind benefits, as well as reduce future incidence of poverty by encouraging investments in education, health and nutrition. The success of CCT </w:t>
            </w:r>
            <w:proofErr w:type="spellStart"/>
            <w:r w:rsidRPr="00C834C7">
              <w:rPr>
                <w:sz w:val="12"/>
                <w:szCs w:val="12"/>
                <w:lang w:val="en-US"/>
              </w:rPr>
              <w:t>programmes</w:t>
            </w:r>
            <w:proofErr w:type="spellEnd"/>
            <w:r w:rsidRPr="00C834C7">
              <w:rPr>
                <w:sz w:val="12"/>
                <w:szCs w:val="12"/>
                <w:lang w:val="en-US"/>
              </w:rPr>
              <w:t xml:space="preserve"> at reducing poverty depends on whether, and the extent to which, cash transfers affect adult work incentives.  In this paper we examine whether the PROGRESA </w:t>
            </w:r>
            <w:proofErr w:type="spellStart"/>
            <w:r w:rsidRPr="00C834C7">
              <w:rPr>
                <w:sz w:val="12"/>
                <w:szCs w:val="12"/>
                <w:lang w:val="en-US"/>
              </w:rPr>
              <w:t>programme</w:t>
            </w:r>
            <w:proofErr w:type="spellEnd"/>
            <w:r w:rsidRPr="00C834C7">
              <w:rPr>
                <w:sz w:val="12"/>
                <w:szCs w:val="12"/>
                <w:lang w:val="en-US"/>
              </w:rPr>
              <w:t xml:space="preserve"> of Mexico affects adult participation in the </w:t>
            </w:r>
            <w:proofErr w:type="spellStart"/>
            <w:r w:rsidRPr="00C834C7">
              <w:rPr>
                <w:sz w:val="12"/>
                <w:szCs w:val="12"/>
                <w:lang w:val="en-US"/>
              </w:rPr>
              <w:t>labour</w:t>
            </w:r>
            <w:proofErr w:type="spellEnd"/>
            <w:r w:rsidRPr="00C834C7">
              <w:rPr>
                <w:sz w:val="12"/>
                <w:szCs w:val="12"/>
                <w:lang w:val="en-US"/>
              </w:rPr>
              <w:t xml:space="preserve"> market and overall adult leisure time, and we link these effects to the impact of the </w:t>
            </w:r>
            <w:proofErr w:type="spellStart"/>
            <w:r w:rsidRPr="00C834C7">
              <w:rPr>
                <w:sz w:val="12"/>
                <w:szCs w:val="12"/>
                <w:lang w:val="en-US"/>
              </w:rPr>
              <w:t>programme</w:t>
            </w:r>
            <w:proofErr w:type="spellEnd"/>
            <w:r w:rsidRPr="00C834C7">
              <w:rPr>
                <w:sz w:val="12"/>
                <w:szCs w:val="12"/>
                <w:lang w:val="en-US"/>
              </w:rPr>
              <w:t xml:space="preserve"> on poverty. </w:t>
            </w:r>
            <w:proofErr w:type="spellStart"/>
            <w:r w:rsidRPr="00C834C7">
              <w:rPr>
                <w:sz w:val="12"/>
                <w:szCs w:val="12"/>
                <w:lang w:val="en-US"/>
              </w:rPr>
              <w:t>Utilising</w:t>
            </w:r>
            <w:proofErr w:type="spellEnd"/>
            <w:r w:rsidRPr="00C834C7">
              <w:rPr>
                <w:sz w:val="12"/>
                <w:szCs w:val="12"/>
                <w:lang w:val="en-US"/>
              </w:rPr>
              <w:t xml:space="preserve"> the experimental design of PROGRESA’s evaluation sample, we find that the </w:t>
            </w:r>
            <w:proofErr w:type="spellStart"/>
            <w:r w:rsidRPr="00C834C7">
              <w:rPr>
                <w:sz w:val="12"/>
                <w:szCs w:val="12"/>
                <w:lang w:val="en-US"/>
              </w:rPr>
              <w:t>programme</w:t>
            </w:r>
            <w:proofErr w:type="spellEnd"/>
            <w:r w:rsidRPr="00C834C7">
              <w:rPr>
                <w:sz w:val="12"/>
                <w:szCs w:val="12"/>
                <w:lang w:val="en-US"/>
              </w:rPr>
              <w:t xml:space="preserve"> does not have any significant effect on adult </w:t>
            </w:r>
            <w:proofErr w:type="spellStart"/>
            <w:r w:rsidRPr="00C834C7">
              <w:rPr>
                <w:sz w:val="12"/>
                <w:szCs w:val="12"/>
                <w:lang w:val="en-US"/>
              </w:rPr>
              <w:t>labour</w:t>
            </w:r>
            <w:proofErr w:type="spellEnd"/>
            <w:r w:rsidRPr="00C834C7">
              <w:rPr>
                <w:sz w:val="12"/>
                <w:szCs w:val="12"/>
                <w:lang w:val="en-US"/>
              </w:rPr>
              <w:t xml:space="preserve"> force participation and leisure time. Our findings on adult work incentives are </w:t>
            </w:r>
            <w:proofErr w:type="gramStart"/>
            <w:r w:rsidRPr="00C834C7">
              <w:rPr>
                <w:sz w:val="12"/>
                <w:szCs w:val="12"/>
                <w:lang w:val="en-US"/>
              </w:rPr>
              <w:t>reinforced  further</w:t>
            </w:r>
            <w:proofErr w:type="gramEnd"/>
            <w:r w:rsidRPr="00C834C7">
              <w:rPr>
                <w:sz w:val="12"/>
                <w:szCs w:val="12"/>
                <w:lang w:val="en-US"/>
              </w:rPr>
              <w:t xml:space="preserve"> by the result that PROGRESA leads to a substantial reduction in poverty. The poverty reduction effects are stronger for the poverty gap and severity of poverty measures. </w:t>
            </w:r>
          </w:p>
        </w:tc>
        <w:tc>
          <w:tcPr>
            <w:tcW w:w="1246" w:type="dxa"/>
            <w:hideMark/>
          </w:tcPr>
          <w:p w14:paraId="0C661C1F" w14:textId="77777777" w:rsidR="00C834C7" w:rsidRPr="00C834C7" w:rsidRDefault="002C04F6" w:rsidP="00C834C7">
            <w:pPr>
              <w:rPr>
                <w:sz w:val="16"/>
                <w:szCs w:val="16"/>
                <w:u w:val="single"/>
                <w:lang w:val="en-US"/>
              </w:rPr>
            </w:pPr>
            <w:hyperlink r:id="rId6" w:history="1">
              <w:r w:rsidR="00C834C7" w:rsidRPr="00C834C7">
                <w:rPr>
                  <w:rStyle w:val="Hyperlink"/>
                  <w:sz w:val="16"/>
                  <w:szCs w:val="16"/>
                  <w:lang w:val="en-US"/>
                </w:rPr>
                <w:t>https://www.dropbox.com/s/v5p86ruc41l8fwa/skoufias2008.pdf?dl=0</w:t>
              </w:r>
              <w:r w:rsidR="00C834C7" w:rsidRPr="00C834C7">
                <w:rPr>
                  <w:rStyle w:val="Hyperlink"/>
                  <w:sz w:val="16"/>
                  <w:szCs w:val="16"/>
                  <w:lang w:val="en-US"/>
                </w:rPr>
                <w:br/>
              </w:r>
            </w:hyperlink>
          </w:p>
        </w:tc>
      </w:tr>
      <w:tr w:rsidR="00C834C7" w:rsidRPr="002C04F6" w14:paraId="40DBCC0F" w14:textId="77777777" w:rsidTr="007D76F4">
        <w:trPr>
          <w:trHeight w:val="1464"/>
        </w:trPr>
        <w:tc>
          <w:tcPr>
            <w:tcW w:w="2235" w:type="dxa"/>
            <w:hideMark/>
          </w:tcPr>
          <w:p w14:paraId="08DF1B7F" w14:textId="77777777" w:rsidR="00C834C7" w:rsidRPr="00C834C7" w:rsidRDefault="00C834C7">
            <w:pPr>
              <w:rPr>
                <w:b/>
                <w:bCs/>
                <w:sz w:val="20"/>
                <w:szCs w:val="20"/>
                <w:lang w:val="en-US"/>
              </w:rPr>
            </w:pPr>
            <w:r w:rsidRPr="00C834C7">
              <w:rPr>
                <w:b/>
                <w:bCs/>
                <w:sz w:val="20"/>
                <w:szCs w:val="20"/>
                <w:lang w:val="en-US"/>
              </w:rPr>
              <w:t>Card &amp; Krueger (1994) Minimum Wages and Employment: A Case Study of the Fast-Food Industry in New Jersey and Pennsylvania</w:t>
            </w:r>
          </w:p>
        </w:tc>
        <w:tc>
          <w:tcPr>
            <w:tcW w:w="1275" w:type="dxa"/>
            <w:hideMark/>
          </w:tcPr>
          <w:p w14:paraId="722E8BE2" w14:textId="77777777" w:rsidR="00C834C7" w:rsidRPr="00C834C7" w:rsidRDefault="00C834C7">
            <w:pPr>
              <w:rPr>
                <w:sz w:val="16"/>
                <w:szCs w:val="16"/>
              </w:rPr>
            </w:pPr>
            <w:r w:rsidRPr="00C834C7">
              <w:rPr>
                <w:sz w:val="16"/>
                <w:szCs w:val="16"/>
              </w:rPr>
              <w:t xml:space="preserve">Demanda. DD </w:t>
            </w:r>
          </w:p>
        </w:tc>
        <w:tc>
          <w:tcPr>
            <w:tcW w:w="4820" w:type="dxa"/>
            <w:hideMark/>
          </w:tcPr>
          <w:p w14:paraId="7EB95881" w14:textId="77777777" w:rsidR="00C834C7" w:rsidRPr="00C834C7" w:rsidRDefault="00C834C7">
            <w:pPr>
              <w:rPr>
                <w:sz w:val="12"/>
                <w:szCs w:val="12"/>
                <w:lang w:val="en-US"/>
              </w:rPr>
            </w:pPr>
            <w:r w:rsidRPr="00C834C7">
              <w:rPr>
                <w:sz w:val="12"/>
                <w:szCs w:val="12"/>
                <w:lang w:val="en-US"/>
              </w:rPr>
              <w:t xml:space="preserve">On April 1, 1992, New Jersey's minimum wage rose from $4.25 to $5.05 per hour. To evaluate the impact of the law we surveyed 410 fast-food restaurants in New Jersey and eastern Pennsylvania before and after the rise. Comparisons of employment growth at stores in New Jersey and Pennsylvania (where the minimum wage was constant) provide simple estimates of the effect of the higher minimum wage. We also compare employment changes at stores in New Jersey that were initially paying high wages (above $5) to the changes at lower-wage stores. We find no indication that the rise in the minimum wage reduced employment </w:t>
            </w:r>
          </w:p>
        </w:tc>
        <w:tc>
          <w:tcPr>
            <w:tcW w:w="1246" w:type="dxa"/>
            <w:hideMark/>
          </w:tcPr>
          <w:p w14:paraId="2785535D" w14:textId="77777777" w:rsidR="00C834C7" w:rsidRPr="00C834C7" w:rsidRDefault="002C04F6">
            <w:pPr>
              <w:rPr>
                <w:sz w:val="16"/>
                <w:szCs w:val="16"/>
                <w:u w:val="single"/>
                <w:lang w:val="en-US"/>
              </w:rPr>
            </w:pPr>
            <w:hyperlink r:id="rId7" w:history="1">
              <w:r w:rsidR="00C834C7" w:rsidRPr="00C834C7">
                <w:rPr>
                  <w:rStyle w:val="Hyperlink"/>
                  <w:sz w:val="16"/>
                  <w:szCs w:val="16"/>
                  <w:lang w:val="en-US"/>
                </w:rPr>
                <w:t>http://davidcard.berkeley.edu/papers/njmin-aer.pdf</w:t>
              </w:r>
              <w:r w:rsidR="00C834C7" w:rsidRPr="00C834C7">
                <w:rPr>
                  <w:rStyle w:val="Hyperlink"/>
                  <w:sz w:val="16"/>
                  <w:szCs w:val="16"/>
                  <w:lang w:val="en-US"/>
                </w:rPr>
                <w:br/>
              </w:r>
            </w:hyperlink>
          </w:p>
        </w:tc>
      </w:tr>
      <w:tr w:rsidR="00C834C7" w:rsidRPr="002C04F6" w14:paraId="177FAEDD" w14:textId="77777777" w:rsidTr="007D76F4">
        <w:trPr>
          <w:trHeight w:val="2016"/>
        </w:trPr>
        <w:tc>
          <w:tcPr>
            <w:tcW w:w="2235" w:type="dxa"/>
            <w:hideMark/>
          </w:tcPr>
          <w:p w14:paraId="4B303AE8" w14:textId="77777777" w:rsidR="00C834C7" w:rsidRPr="00C834C7" w:rsidRDefault="00C834C7">
            <w:pPr>
              <w:rPr>
                <w:b/>
                <w:bCs/>
                <w:sz w:val="20"/>
                <w:szCs w:val="20"/>
                <w:lang w:val="en-US"/>
              </w:rPr>
            </w:pPr>
            <w:proofErr w:type="spellStart"/>
            <w:r w:rsidRPr="00C834C7">
              <w:rPr>
                <w:b/>
                <w:bCs/>
                <w:sz w:val="20"/>
                <w:szCs w:val="20"/>
                <w:lang w:val="en-US"/>
              </w:rPr>
              <w:t>Orley</w:t>
            </w:r>
            <w:proofErr w:type="spellEnd"/>
            <w:r w:rsidRPr="00C834C7">
              <w:rPr>
                <w:b/>
                <w:bCs/>
                <w:sz w:val="20"/>
                <w:szCs w:val="20"/>
                <w:lang w:val="en-US"/>
              </w:rPr>
              <w:t xml:space="preserve"> </w:t>
            </w:r>
            <w:proofErr w:type="spellStart"/>
            <w:r w:rsidRPr="00C834C7">
              <w:rPr>
                <w:b/>
                <w:bCs/>
                <w:sz w:val="20"/>
                <w:szCs w:val="20"/>
                <w:lang w:val="en-US"/>
              </w:rPr>
              <w:t>Ashenfelter</w:t>
            </w:r>
            <w:proofErr w:type="spellEnd"/>
            <w:r w:rsidRPr="00C834C7">
              <w:rPr>
                <w:b/>
                <w:bCs/>
                <w:sz w:val="20"/>
                <w:szCs w:val="20"/>
                <w:lang w:val="en-US"/>
              </w:rPr>
              <w:t xml:space="preserve"> and Alan Krueger (1994) "Estimates of the Economic Return to Schooling from a New Sample of Twins" </w:t>
            </w:r>
          </w:p>
        </w:tc>
        <w:tc>
          <w:tcPr>
            <w:tcW w:w="1275" w:type="dxa"/>
            <w:hideMark/>
          </w:tcPr>
          <w:p w14:paraId="1450BFDC" w14:textId="77777777" w:rsidR="00C834C7" w:rsidRPr="00C834C7" w:rsidRDefault="00C834C7">
            <w:pPr>
              <w:rPr>
                <w:sz w:val="16"/>
                <w:szCs w:val="16"/>
              </w:rPr>
            </w:pPr>
            <w:r w:rsidRPr="00C834C7">
              <w:rPr>
                <w:sz w:val="16"/>
                <w:szCs w:val="16"/>
              </w:rPr>
              <w:t xml:space="preserve">Retornos a la educación. </w:t>
            </w:r>
          </w:p>
        </w:tc>
        <w:tc>
          <w:tcPr>
            <w:tcW w:w="4820" w:type="dxa"/>
            <w:hideMark/>
          </w:tcPr>
          <w:p w14:paraId="78DD0BC6" w14:textId="77777777" w:rsidR="00C834C7" w:rsidRPr="00C834C7" w:rsidRDefault="00C834C7">
            <w:pPr>
              <w:rPr>
                <w:sz w:val="12"/>
                <w:szCs w:val="12"/>
                <w:lang w:val="en-US"/>
              </w:rPr>
            </w:pPr>
            <w:r w:rsidRPr="00C834C7">
              <w:rPr>
                <w:sz w:val="12"/>
                <w:szCs w:val="12"/>
                <w:lang w:val="en-US"/>
              </w:rPr>
              <w:t xml:space="preserve">This paper uses a new survey to contrast the wages of genetically identical twins with different schooling levels. Multiple measurements of schooling levels were also collected to assess the effect of reporting error on the estimated economic returns to schooling. The data indicate that omitted ability variables do not bias the estimated return to schooling upward, but that measurement error does bias it downward. Adjustment for measurement error indicates that an additional year of schooling increases wages by 12-16 percent, a higher estimate of the economic </w:t>
            </w:r>
            <w:proofErr w:type="spellStart"/>
            <w:r w:rsidRPr="00C834C7">
              <w:rPr>
                <w:sz w:val="12"/>
                <w:szCs w:val="12"/>
                <w:lang w:val="en-US"/>
              </w:rPr>
              <w:t>retums</w:t>
            </w:r>
            <w:proofErr w:type="spellEnd"/>
            <w:r w:rsidRPr="00C834C7">
              <w:rPr>
                <w:sz w:val="12"/>
                <w:szCs w:val="12"/>
                <w:lang w:val="en-US"/>
              </w:rPr>
              <w:t xml:space="preserve"> to schooling than has been previously found.</w:t>
            </w:r>
          </w:p>
        </w:tc>
        <w:tc>
          <w:tcPr>
            <w:tcW w:w="1246" w:type="dxa"/>
            <w:hideMark/>
          </w:tcPr>
          <w:p w14:paraId="53199541" w14:textId="77777777" w:rsidR="00C834C7" w:rsidRPr="00C834C7" w:rsidRDefault="002C04F6">
            <w:pPr>
              <w:rPr>
                <w:sz w:val="16"/>
                <w:szCs w:val="16"/>
                <w:u w:val="single"/>
                <w:lang w:val="en-US"/>
              </w:rPr>
            </w:pPr>
            <w:hyperlink r:id="rId8" w:history="1">
              <w:r w:rsidR="00C834C7" w:rsidRPr="00C834C7">
                <w:rPr>
                  <w:rStyle w:val="Hyperlink"/>
                  <w:sz w:val="16"/>
                  <w:szCs w:val="16"/>
                  <w:lang w:val="en-US"/>
                </w:rPr>
                <w:t>https://www.dropbox.com/s/9xc7somnkm9dr9o/Ashenfelter%26Krueger.pdf?dl=0</w:t>
              </w:r>
              <w:r w:rsidR="00C834C7" w:rsidRPr="00C834C7">
                <w:rPr>
                  <w:rStyle w:val="Hyperlink"/>
                  <w:sz w:val="16"/>
                  <w:szCs w:val="16"/>
                  <w:lang w:val="en-US"/>
                </w:rPr>
                <w:br/>
              </w:r>
            </w:hyperlink>
          </w:p>
        </w:tc>
      </w:tr>
      <w:tr w:rsidR="00C834C7" w:rsidRPr="002C04F6" w14:paraId="09C57460" w14:textId="77777777" w:rsidTr="007D76F4">
        <w:trPr>
          <w:trHeight w:val="2304"/>
        </w:trPr>
        <w:tc>
          <w:tcPr>
            <w:tcW w:w="2235" w:type="dxa"/>
            <w:hideMark/>
          </w:tcPr>
          <w:p w14:paraId="18641C5E" w14:textId="77777777" w:rsidR="00C834C7" w:rsidRPr="00C834C7" w:rsidRDefault="00C834C7">
            <w:pPr>
              <w:rPr>
                <w:b/>
                <w:bCs/>
                <w:sz w:val="20"/>
                <w:szCs w:val="20"/>
                <w:lang w:val="en-US"/>
              </w:rPr>
            </w:pPr>
            <w:r w:rsidRPr="00C834C7">
              <w:rPr>
                <w:b/>
                <w:bCs/>
                <w:sz w:val="20"/>
                <w:szCs w:val="20"/>
                <w:lang w:val="en-US"/>
              </w:rPr>
              <w:t>Joshua D. Angrist and Alan B. Krueger (1991) Does Compulsory School Attendance Affect Schooling and Earnings?</w:t>
            </w:r>
          </w:p>
        </w:tc>
        <w:tc>
          <w:tcPr>
            <w:tcW w:w="1275" w:type="dxa"/>
            <w:hideMark/>
          </w:tcPr>
          <w:p w14:paraId="53A111F2" w14:textId="77777777" w:rsidR="00C834C7" w:rsidRPr="00C834C7" w:rsidRDefault="00C834C7">
            <w:pPr>
              <w:rPr>
                <w:sz w:val="16"/>
                <w:szCs w:val="16"/>
              </w:rPr>
            </w:pPr>
            <w:proofErr w:type="gramStart"/>
            <w:r w:rsidRPr="00C834C7">
              <w:rPr>
                <w:sz w:val="16"/>
                <w:szCs w:val="16"/>
              </w:rPr>
              <w:t>Educación  -</w:t>
            </w:r>
            <w:proofErr w:type="gramEnd"/>
            <w:r w:rsidRPr="00C834C7">
              <w:rPr>
                <w:sz w:val="16"/>
                <w:szCs w:val="16"/>
              </w:rPr>
              <w:t xml:space="preserve"> IV </w:t>
            </w:r>
          </w:p>
        </w:tc>
        <w:tc>
          <w:tcPr>
            <w:tcW w:w="4820" w:type="dxa"/>
            <w:hideMark/>
          </w:tcPr>
          <w:p w14:paraId="653A5BE9" w14:textId="77777777" w:rsidR="00C834C7" w:rsidRPr="00C834C7" w:rsidRDefault="00C834C7">
            <w:pPr>
              <w:rPr>
                <w:sz w:val="12"/>
                <w:szCs w:val="12"/>
                <w:lang w:val="en-US"/>
              </w:rPr>
            </w:pPr>
            <w:r w:rsidRPr="00C834C7">
              <w:rPr>
                <w:sz w:val="12"/>
                <w:szCs w:val="12"/>
                <w:lang w:val="en-US"/>
              </w:rPr>
              <w:t>We establish that season of birth is related to educational attainment because of school start age policy and compulsory school attendance laws. Individuals born in the beginning of the year start school at an older age, and can therefore drop out after completing less schooling than individuals born near the end of the year. Roughly 25 percent of potential dropouts remain in school because of compulsory schooling laws. We estimate the impact of compulsory schooling on earnings by using quarter of birth as an instrument for education. The instrumental variables estimate of the return to education is close to the ordinary least squares estimate, suggesting that there is little bias in conventional estimates.</w:t>
            </w:r>
          </w:p>
        </w:tc>
        <w:tc>
          <w:tcPr>
            <w:tcW w:w="1246" w:type="dxa"/>
            <w:hideMark/>
          </w:tcPr>
          <w:p w14:paraId="0AE4E22C" w14:textId="77777777" w:rsidR="00C834C7" w:rsidRPr="00C834C7" w:rsidRDefault="002C04F6">
            <w:pPr>
              <w:rPr>
                <w:sz w:val="16"/>
                <w:szCs w:val="16"/>
                <w:u w:val="single"/>
                <w:lang w:val="en-US"/>
              </w:rPr>
            </w:pPr>
            <w:hyperlink r:id="rId9" w:history="1">
              <w:r w:rsidR="00C834C7" w:rsidRPr="00C834C7">
                <w:rPr>
                  <w:rStyle w:val="Hyperlink"/>
                  <w:sz w:val="16"/>
                  <w:szCs w:val="16"/>
                  <w:lang w:val="en-US"/>
                </w:rPr>
                <w:t>https://www.dropbox.com/s/x9i7cx9hmav954r/AngKrug.pdf?dl=0</w:t>
              </w:r>
              <w:r w:rsidR="00C834C7" w:rsidRPr="00C834C7">
                <w:rPr>
                  <w:rStyle w:val="Hyperlink"/>
                  <w:sz w:val="16"/>
                  <w:szCs w:val="16"/>
                  <w:lang w:val="en-US"/>
                </w:rPr>
                <w:br/>
              </w:r>
            </w:hyperlink>
          </w:p>
        </w:tc>
      </w:tr>
      <w:tr w:rsidR="00C834C7" w:rsidRPr="002C04F6" w14:paraId="13526D94" w14:textId="77777777" w:rsidTr="007D76F4">
        <w:trPr>
          <w:trHeight w:val="2052"/>
        </w:trPr>
        <w:tc>
          <w:tcPr>
            <w:tcW w:w="2235" w:type="dxa"/>
            <w:hideMark/>
          </w:tcPr>
          <w:p w14:paraId="770E37CD" w14:textId="77777777" w:rsidR="00C834C7" w:rsidRPr="00C834C7" w:rsidRDefault="00C834C7">
            <w:pPr>
              <w:rPr>
                <w:b/>
                <w:bCs/>
                <w:sz w:val="20"/>
                <w:szCs w:val="20"/>
                <w:lang w:val="en-US"/>
              </w:rPr>
            </w:pPr>
            <w:proofErr w:type="spellStart"/>
            <w:r w:rsidRPr="00C834C7">
              <w:rPr>
                <w:b/>
                <w:bCs/>
                <w:sz w:val="20"/>
                <w:szCs w:val="20"/>
                <w:lang w:val="en-US"/>
              </w:rPr>
              <w:t>Kleven</w:t>
            </w:r>
            <w:proofErr w:type="spellEnd"/>
            <w:r w:rsidRPr="00C834C7">
              <w:rPr>
                <w:b/>
                <w:bCs/>
                <w:sz w:val="20"/>
                <w:szCs w:val="20"/>
                <w:lang w:val="en-US"/>
              </w:rPr>
              <w:t xml:space="preserve">, </w:t>
            </w:r>
            <w:proofErr w:type="spellStart"/>
            <w:r w:rsidRPr="00C834C7">
              <w:rPr>
                <w:b/>
                <w:bCs/>
                <w:sz w:val="20"/>
                <w:szCs w:val="20"/>
                <w:lang w:val="en-US"/>
              </w:rPr>
              <w:t>Landais</w:t>
            </w:r>
            <w:proofErr w:type="spellEnd"/>
            <w:r w:rsidRPr="00C834C7">
              <w:rPr>
                <w:b/>
                <w:bCs/>
                <w:sz w:val="20"/>
                <w:szCs w:val="20"/>
                <w:lang w:val="en-US"/>
              </w:rPr>
              <w:t xml:space="preserve">, </w:t>
            </w:r>
            <w:proofErr w:type="spellStart"/>
            <w:r w:rsidRPr="00C834C7">
              <w:rPr>
                <w:b/>
                <w:bCs/>
                <w:sz w:val="20"/>
                <w:szCs w:val="20"/>
                <w:lang w:val="en-US"/>
              </w:rPr>
              <w:t>Sogaard</w:t>
            </w:r>
            <w:proofErr w:type="spellEnd"/>
            <w:r w:rsidRPr="00C834C7">
              <w:rPr>
                <w:b/>
                <w:bCs/>
                <w:sz w:val="20"/>
                <w:szCs w:val="20"/>
                <w:lang w:val="en-US"/>
              </w:rPr>
              <w:t xml:space="preserve"> (2017) Children and Gender Inequality: Evidence from Denmark. NBER Working Papers 24219, National Bureau of Economic Research, Inc.</w:t>
            </w:r>
          </w:p>
        </w:tc>
        <w:tc>
          <w:tcPr>
            <w:tcW w:w="1275" w:type="dxa"/>
            <w:hideMark/>
          </w:tcPr>
          <w:p w14:paraId="777FA4C3" w14:textId="77777777" w:rsidR="00C834C7" w:rsidRPr="00C834C7" w:rsidRDefault="00C834C7">
            <w:pPr>
              <w:rPr>
                <w:sz w:val="16"/>
                <w:szCs w:val="16"/>
              </w:rPr>
            </w:pPr>
            <w:r w:rsidRPr="00C834C7">
              <w:rPr>
                <w:sz w:val="16"/>
                <w:szCs w:val="16"/>
              </w:rPr>
              <w:t xml:space="preserve">Diferencial salarial / </w:t>
            </w:r>
            <w:proofErr w:type="spellStart"/>
            <w:r w:rsidRPr="00C834C7">
              <w:rPr>
                <w:sz w:val="16"/>
                <w:szCs w:val="16"/>
              </w:rPr>
              <w:t>Event</w:t>
            </w:r>
            <w:proofErr w:type="spellEnd"/>
            <w:r w:rsidRPr="00C834C7">
              <w:rPr>
                <w:sz w:val="16"/>
                <w:szCs w:val="16"/>
              </w:rPr>
              <w:t xml:space="preserve"> </w:t>
            </w:r>
            <w:proofErr w:type="spellStart"/>
            <w:r w:rsidRPr="00C834C7">
              <w:rPr>
                <w:sz w:val="16"/>
                <w:szCs w:val="16"/>
              </w:rPr>
              <w:t>study</w:t>
            </w:r>
            <w:proofErr w:type="spellEnd"/>
          </w:p>
        </w:tc>
        <w:tc>
          <w:tcPr>
            <w:tcW w:w="4820" w:type="dxa"/>
            <w:hideMark/>
          </w:tcPr>
          <w:p w14:paraId="76E0BF41" w14:textId="77777777" w:rsidR="00C834C7" w:rsidRPr="00C834C7" w:rsidRDefault="00C834C7">
            <w:pPr>
              <w:rPr>
                <w:sz w:val="12"/>
                <w:szCs w:val="12"/>
                <w:lang w:val="en-US"/>
              </w:rPr>
            </w:pPr>
            <w:r w:rsidRPr="00C834C7">
              <w:rPr>
                <w:sz w:val="12"/>
                <w:szCs w:val="12"/>
                <w:lang w:val="en-US"/>
              </w:rPr>
              <w:t>Despite considerable gender convergence over time, substantial gender inequality persists in all countries. Using Danish administrative data from 1980-2013 and an event study approach, we show that most of the remaining gender inequality in earnings is due to children. The arrival of children creates a gender gap in earnings of around 20% in the long run, driven in roughly equal proportions by labor force participation, hours of work, and wage rates. Underlying these “child penalties”, we find clear dynamic impacts on occupation, promotion to manager, sector, and the family friendliness of the firm for women relative to men. Based on a dynamic decomposition framework, we show that the fraction of gender inequality caused by child penalties has increased dramatically over time, from about 40% in 1980 to about 80% in 2013. As a possible explanation for the persistence of child penalties, we show that they are transmitted through generations, from parents to daughters (but not sons), consistent with an influence of childhood environment in the formation of women’s preferences over family and career.</w:t>
            </w:r>
          </w:p>
        </w:tc>
        <w:tc>
          <w:tcPr>
            <w:tcW w:w="1246" w:type="dxa"/>
            <w:hideMark/>
          </w:tcPr>
          <w:p w14:paraId="2716088A" w14:textId="77777777" w:rsidR="00C834C7" w:rsidRPr="00C834C7" w:rsidRDefault="002C04F6">
            <w:pPr>
              <w:rPr>
                <w:sz w:val="16"/>
                <w:szCs w:val="16"/>
                <w:u w:val="single"/>
                <w:lang w:val="en-US"/>
              </w:rPr>
            </w:pPr>
            <w:hyperlink r:id="rId10" w:history="1">
              <w:r w:rsidR="00C834C7" w:rsidRPr="00C834C7">
                <w:rPr>
                  <w:rStyle w:val="Hyperlink"/>
                  <w:sz w:val="16"/>
                  <w:szCs w:val="16"/>
                  <w:lang w:val="en-US"/>
                </w:rPr>
                <w:t>http://econ.lse.ac.uk/staff/clandais/cgi-bin/Articles/GenderGap_AEJ-Applied_Final.pdf</w:t>
              </w:r>
              <w:r w:rsidR="00C834C7" w:rsidRPr="00C834C7">
                <w:rPr>
                  <w:rStyle w:val="Hyperlink"/>
                  <w:sz w:val="16"/>
                  <w:szCs w:val="16"/>
                  <w:lang w:val="en-US"/>
                </w:rPr>
                <w:br/>
              </w:r>
            </w:hyperlink>
          </w:p>
        </w:tc>
      </w:tr>
      <w:tr w:rsidR="00C834C7" w:rsidRPr="002C04F6" w14:paraId="1E2972C5" w14:textId="77777777" w:rsidTr="007D76F4">
        <w:trPr>
          <w:trHeight w:val="1440"/>
        </w:trPr>
        <w:tc>
          <w:tcPr>
            <w:tcW w:w="2235" w:type="dxa"/>
            <w:hideMark/>
          </w:tcPr>
          <w:p w14:paraId="3F9F429F" w14:textId="77777777" w:rsidR="00C834C7" w:rsidRPr="00C834C7" w:rsidRDefault="00C834C7">
            <w:pPr>
              <w:rPr>
                <w:b/>
                <w:bCs/>
                <w:sz w:val="20"/>
                <w:szCs w:val="20"/>
                <w:lang w:val="en-US"/>
              </w:rPr>
            </w:pPr>
            <w:proofErr w:type="spellStart"/>
            <w:r w:rsidRPr="00C834C7">
              <w:rPr>
                <w:b/>
                <w:bCs/>
                <w:sz w:val="20"/>
                <w:szCs w:val="20"/>
                <w:lang w:val="en-US"/>
              </w:rPr>
              <w:t>Landais</w:t>
            </w:r>
            <w:proofErr w:type="spellEnd"/>
            <w:r w:rsidRPr="00C834C7">
              <w:rPr>
                <w:b/>
                <w:bCs/>
                <w:sz w:val="20"/>
                <w:szCs w:val="20"/>
                <w:lang w:val="en-US"/>
              </w:rPr>
              <w:t>, Camille (2015) Assessing the welfare effects of unemployment benefits using the</w:t>
            </w:r>
            <w:r w:rsidRPr="00C834C7">
              <w:rPr>
                <w:b/>
                <w:bCs/>
                <w:sz w:val="20"/>
                <w:szCs w:val="20"/>
                <w:lang w:val="en-US"/>
              </w:rPr>
              <w:br/>
              <w:t>regression kink design. American Economic Journal: Economic Policy, 7 (4)</w:t>
            </w:r>
          </w:p>
        </w:tc>
        <w:tc>
          <w:tcPr>
            <w:tcW w:w="1275" w:type="dxa"/>
            <w:hideMark/>
          </w:tcPr>
          <w:p w14:paraId="5BCB964A" w14:textId="77777777" w:rsidR="00C834C7" w:rsidRPr="00C834C7" w:rsidRDefault="00C834C7">
            <w:pPr>
              <w:rPr>
                <w:sz w:val="16"/>
                <w:szCs w:val="16"/>
              </w:rPr>
            </w:pPr>
            <w:proofErr w:type="spellStart"/>
            <w:r w:rsidRPr="00C834C7">
              <w:rPr>
                <w:sz w:val="16"/>
                <w:szCs w:val="16"/>
              </w:rPr>
              <w:t>Regression</w:t>
            </w:r>
            <w:proofErr w:type="spellEnd"/>
            <w:r w:rsidRPr="00C834C7">
              <w:rPr>
                <w:sz w:val="16"/>
                <w:szCs w:val="16"/>
              </w:rPr>
              <w:t xml:space="preserve"> Kink </w:t>
            </w:r>
            <w:proofErr w:type="spellStart"/>
            <w:r w:rsidRPr="00C834C7">
              <w:rPr>
                <w:sz w:val="16"/>
                <w:szCs w:val="16"/>
              </w:rPr>
              <w:t>Design</w:t>
            </w:r>
            <w:proofErr w:type="spellEnd"/>
          </w:p>
        </w:tc>
        <w:tc>
          <w:tcPr>
            <w:tcW w:w="4820" w:type="dxa"/>
            <w:hideMark/>
          </w:tcPr>
          <w:p w14:paraId="2C518E7E" w14:textId="77777777" w:rsidR="00C834C7" w:rsidRPr="00C834C7" w:rsidRDefault="00C834C7">
            <w:pPr>
              <w:rPr>
                <w:sz w:val="12"/>
                <w:szCs w:val="12"/>
                <w:lang w:val="en-US"/>
              </w:rPr>
            </w:pPr>
            <w:r w:rsidRPr="00C834C7">
              <w:rPr>
                <w:sz w:val="12"/>
                <w:szCs w:val="12"/>
                <w:lang w:val="en-US"/>
              </w:rPr>
              <w:t xml:space="preserve">I show how, in the tradition of the dynamic labor supply literature, one can identify the moral hazard effects and liquidity effects of unemployment insurance (UI) using variations along the time profile of unemployment benefits. I use this strategy to investigate the anatomy of labor supply responses to UI. I identify the effect of benefit level and potential duration in the regression kink design using kinks in the schedule of bene </w:t>
            </w:r>
            <w:proofErr w:type="spellStart"/>
            <w:r w:rsidRPr="00C834C7">
              <w:rPr>
                <w:sz w:val="12"/>
                <w:szCs w:val="12"/>
                <w:lang w:val="en-US"/>
              </w:rPr>
              <w:t>ts</w:t>
            </w:r>
            <w:proofErr w:type="spellEnd"/>
            <w:r w:rsidRPr="00C834C7">
              <w:rPr>
                <w:sz w:val="12"/>
                <w:szCs w:val="12"/>
                <w:lang w:val="en-US"/>
              </w:rPr>
              <w:t xml:space="preserve"> in the US. My results suggest that the response of search effort to UI benefits is driven as much by liquidity effects as by moral hazard effects.</w:t>
            </w:r>
          </w:p>
        </w:tc>
        <w:tc>
          <w:tcPr>
            <w:tcW w:w="1246" w:type="dxa"/>
            <w:hideMark/>
          </w:tcPr>
          <w:p w14:paraId="4FD44A0B" w14:textId="77777777" w:rsidR="00C834C7" w:rsidRPr="00C834C7" w:rsidRDefault="002C04F6">
            <w:pPr>
              <w:rPr>
                <w:sz w:val="16"/>
                <w:szCs w:val="16"/>
                <w:u w:val="single"/>
                <w:lang w:val="en-US"/>
              </w:rPr>
            </w:pPr>
            <w:r>
              <w:fldChar w:fldCharType="begin"/>
            </w:r>
            <w:r w:rsidRPr="002C04F6">
              <w:rPr>
                <w:lang w:val="en-US"/>
              </w:rPr>
              <w:instrText xml:space="preserve"> HYPERLINK "http://piketty.pse.ens.fr/files/Landais2014.</w:instrText>
            </w:r>
            <w:r w:rsidRPr="002C04F6">
              <w:rPr>
                <w:lang w:val="en-US"/>
              </w:rPr>
              <w:instrText xml:space="preserve">pdf" </w:instrText>
            </w:r>
            <w:r>
              <w:fldChar w:fldCharType="separate"/>
            </w:r>
            <w:r w:rsidR="00C834C7" w:rsidRPr="00C834C7">
              <w:rPr>
                <w:rStyle w:val="Hyperlink"/>
                <w:sz w:val="16"/>
                <w:szCs w:val="16"/>
                <w:lang w:val="en-US"/>
              </w:rPr>
              <w:t>http://piketty.pse.ens.fr/files/Landais2014.pdf</w:t>
            </w:r>
            <w:r w:rsidR="00C834C7" w:rsidRPr="00C834C7">
              <w:rPr>
                <w:rStyle w:val="Hyperlink"/>
                <w:sz w:val="16"/>
                <w:szCs w:val="16"/>
                <w:lang w:val="en-US"/>
              </w:rPr>
              <w:br/>
            </w:r>
            <w:r>
              <w:rPr>
                <w:rStyle w:val="Hyperlink"/>
                <w:sz w:val="16"/>
                <w:szCs w:val="16"/>
                <w:lang w:val="en-US"/>
              </w:rPr>
              <w:fldChar w:fldCharType="end"/>
            </w:r>
          </w:p>
        </w:tc>
      </w:tr>
      <w:tr w:rsidR="00C834C7" w:rsidRPr="002C04F6" w14:paraId="6D3FC0FA" w14:textId="77777777" w:rsidTr="007D76F4">
        <w:trPr>
          <w:trHeight w:val="2880"/>
        </w:trPr>
        <w:tc>
          <w:tcPr>
            <w:tcW w:w="2235" w:type="dxa"/>
            <w:hideMark/>
          </w:tcPr>
          <w:p w14:paraId="3724C330" w14:textId="77777777" w:rsidR="00C834C7" w:rsidRPr="00C834C7" w:rsidRDefault="00C834C7">
            <w:pPr>
              <w:rPr>
                <w:b/>
                <w:bCs/>
                <w:sz w:val="20"/>
                <w:szCs w:val="20"/>
                <w:lang w:val="en-US"/>
              </w:rPr>
            </w:pPr>
            <w:r w:rsidRPr="00C834C7">
              <w:rPr>
                <w:b/>
                <w:bCs/>
                <w:sz w:val="20"/>
                <w:szCs w:val="20"/>
                <w:lang w:val="en-US"/>
              </w:rPr>
              <w:lastRenderedPageBreak/>
              <w:t xml:space="preserve">Dube &amp; </w:t>
            </w:r>
            <w:proofErr w:type="spellStart"/>
            <w:r w:rsidRPr="00C834C7">
              <w:rPr>
                <w:b/>
                <w:bCs/>
                <w:sz w:val="20"/>
                <w:szCs w:val="20"/>
                <w:lang w:val="en-US"/>
              </w:rPr>
              <w:t>Zipperer</w:t>
            </w:r>
            <w:proofErr w:type="spellEnd"/>
            <w:r w:rsidRPr="00C834C7">
              <w:rPr>
                <w:b/>
                <w:bCs/>
                <w:sz w:val="20"/>
                <w:szCs w:val="20"/>
                <w:lang w:val="en-US"/>
              </w:rPr>
              <w:t xml:space="preserve"> (2015) Pooling Multiple Case Studies Using Synthetic Controls: An Application to Minimum Wage Policies</w:t>
            </w:r>
          </w:p>
        </w:tc>
        <w:tc>
          <w:tcPr>
            <w:tcW w:w="1275" w:type="dxa"/>
            <w:hideMark/>
          </w:tcPr>
          <w:p w14:paraId="1860D731" w14:textId="77777777" w:rsidR="00C834C7" w:rsidRPr="00C834C7" w:rsidRDefault="00C834C7">
            <w:pPr>
              <w:rPr>
                <w:sz w:val="16"/>
                <w:szCs w:val="16"/>
              </w:rPr>
            </w:pPr>
            <w:r w:rsidRPr="00C834C7">
              <w:rPr>
                <w:sz w:val="16"/>
                <w:szCs w:val="16"/>
              </w:rPr>
              <w:t xml:space="preserve">Salario mínimo - </w:t>
            </w:r>
            <w:proofErr w:type="spellStart"/>
            <w:r w:rsidRPr="00C834C7">
              <w:rPr>
                <w:sz w:val="16"/>
                <w:szCs w:val="16"/>
              </w:rPr>
              <w:t>Synth</w:t>
            </w:r>
            <w:proofErr w:type="spellEnd"/>
            <w:r w:rsidRPr="00C834C7">
              <w:rPr>
                <w:sz w:val="16"/>
                <w:szCs w:val="16"/>
              </w:rPr>
              <w:t xml:space="preserve"> </w:t>
            </w:r>
            <w:proofErr w:type="spellStart"/>
            <w:r w:rsidRPr="00C834C7">
              <w:rPr>
                <w:sz w:val="16"/>
                <w:szCs w:val="16"/>
              </w:rPr>
              <w:t>Contr</w:t>
            </w:r>
            <w:proofErr w:type="spellEnd"/>
            <w:r w:rsidRPr="00C834C7">
              <w:rPr>
                <w:sz w:val="16"/>
                <w:szCs w:val="16"/>
              </w:rPr>
              <w:t xml:space="preserve"> </w:t>
            </w:r>
          </w:p>
        </w:tc>
        <w:tc>
          <w:tcPr>
            <w:tcW w:w="4820" w:type="dxa"/>
            <w:hideMark/>
          </w:tcPr>
          <w:p w14:paraId="562C229B" w14:textId="77777777" w:rsidR="00C834C7" w:rsidRPr="00C834C7" w:rsidRDefault="00C834C7">
            <w:pPr>
              <w:rPr>
                <w:sz w:val="12"/>
                <w:szCs w:val="12"/>
                <w:lang w:val="en-US"/>
              </w:rPr>
            </w:pPr>
            <w:r w:rsidRPr="00C834C7">
              <w:rPr>
                <w:sz w:val="12"/>
                <w:szCs w:val="12"/>
                <w:lang w:val="en-US"/>
              </w:rPr>
              <w:t xml:space="preserve">We propose a simple, distribution-free method for pooling synthetic control case studies using the mean percentile rank. We also test for heterogeneous treatment effects using the distribution of estimated ranks, which has a known form. We propose a cross-validation based procedure for model selection. Using 29 cases of state minimum wage increases between 1979 and 2013, we find a sizable, positive and statistically significant effect on the average teen wage. We do detect heterogeneity in the wage elasticities, consistent with differential bites in the policy. In contrast, the employment estimates suggest a small constant effect not distinguishable from zero. </w:t>
            </w:r>
          </w:p>
        </w:tc>
        <w:tc>
          <w:tcPr>
            <w:tcW w:w="1246" w:type="dxa"/>
            <w:hideMark/>
          </w:tcPr>
          <w:p w14:paraId="763869CC" w14:textId="77777777" w:rsidR="00C834C7" w:rsidRPr="00C834C7" w:rsidRDefault="002C04F6">
            <w:pPr>
              <w:rPr>
                <w:sz w:val="16"/>
                <w:szCs w:val="16"/>
                <w:u w:val="single"/>
                <w:lang w:val="en-US"/>
              </w:rPr>
            </w:pPr>
            <w:r>
              <w:fldChar w:fldCharType="begin"/>
            </w:r>
            <w:r w:rsidRPr="002C04F6">
              <w:rPr>
                <w:lang w:val="en-US"/>
              </w:rPr>
              <w:instrText xml:space="preserve"> HYPERLINK "https://www.dropbox.com/s/wsft8nzk929dcx7/dube-ziepper_Minimum%20Wage%20Policies_SC_dp8944.pdf?dl=0" </w:instrText>
            </w:r>
            <w:r>
              <w:fldChar w:fldCharType="separate"/>
            </w:r>
            <w:r w:rsidR="00C834C7" w:rsidRPr="00C834C7">
              <w:rPr>
                <w:rStyle w:val="Hyperlink"/>
                <w:sz w:val="16"/>
                <w:szCs w:val="16"/>
                <w:lang w:val="en-US"/>
              </w:rPr>
              <w:t>https://www.dropbox.com/s/wsft8nzk929dcx7/dube-ziepper_Minimum%20Wage%20Policies_SC_dp8944.pdf?dl=0</w:t>
            </w:r>
            <w:r w:rsidR="00C834C7" w:rsidRPr="00C834C7">
              <w:rPr>
                <w:rStyle w:val="Hyperlink"/>
                <w:sz w:val="16"/>
                <w:szCs w:val="16"/>
                <w:lang w:val="en-US"/>
              </w:rPr>
              <w:br/>
            </w:r>
            <w:r>
              <w:rPr>
                <w:rStyle w:val="Hyperlink"/>
                <w:sz w:val="16"/>
                <w:szCs w:val="16"/>
                <w:lang w:val="en-US"/>
              </w:rPr>
              <w:fldChar w:fldCharType="end"/>
            </w:r>
          </w:p>
        </w:tc>
      </w:tr>
      <w:tr w:rsidR="007D76F4" w:rsidRPr="00C834C7" w14:paraId="24A29A5B" w14:textId="77777777" w:rsidTr="007D76F4">
        <w:trPr>
          <w:trHeight w:val="1440"/>
        </w:trPr>
        <w:tc>
          <w:tcPr>
            <w:tcW w:w="2235" w:type="dxa"/>
            <w:hideMark/>
          </w:tcPr>
          <w:p w14:paraId="41DB190D" w14:textId="061395D0" w:rsidR="007D76F4" w:rsidRPr="00C834C7" w:rsidRDefault="007D76F4">
            <w:pPr>
              <w:rPr>
                <w:b/>
                <w:bCs/>
                <w:sz w:val="20"/>
                <w:szCs w:val="20"/>
              </w:rPr>
            </w:pPr>
            <w:r w:rsidRPr="00C834C7">
              <w:rPr>
                <w:b/>
                <w:bCs/>
                <w:sz w:val="20"/>
                <w:szCs w:val="20"/>
              </w:rPr>
              <w:t xml:space="preserve">LAS ASIGNACIONES UNIVERSALES POR HIJO EN ARGENTINA IMPACTO, DISCUSIÓN Y ALTERNATIVAS - LEONARDO GASPARINI Y GUILLERMO CRUCES - Económica, La Plata, Vol. LVI, </w:t>
            </w:r>
            <w:proofErr w:type="gramStart"/>
            <w:r w:rsidRPr="00C834C7">
              <w:rPr>
                <w:b/>
                <w:bCs/>
                <w:sz w:val="20"/>
                <w:szCs w:val="20"/>
              </w:rPr>
              <w:t>Enero</w:t>
            </w:r>
            <w:proofErr w:type="gramEnd"/>
            <w:r w:rsidRPr="00C834C7">
              <w:rPr>
                <w:b/>
                <w:bCs/>
                <w:sz w:val="20"/>
                <w:szCs w:val="20"/>
              </w:rPr>
              <w:t>-Diciembre 2010</w:t>
            </w:r>
          </w:p>
        </w:tc>
        <w:tc>
          <w:tcPr>
            <w:tcW w:w="1275" w:type="dxa"/>
            <w:hideMark/>
          </w:tcPr>
          <w:p w14:paraId="40099A31" w14:textId="3866EDFB" w:rsidR="007D76F4" w:rsidRPr="00C834C7" w:rsidRDefault="007D76F4">
            <w:pPr>
              <w:rPr>
                <w:sz w:val="16"/>
                <w:szCs w:val="16"/>
              </w:rPr>
            </w:pPr>
            <w:proofErr w:type="spellStart"/>
            <w:r w:rsidRPr="00C834C7">
              <w:rPr>
                <w:sz w:val="16"/>
                <w:szCs w:val="16"/>
              </w:rPr>
              <w:t>Microsimulaciones</w:t>
            </w:r>
            <w:proofErr w:type="spellEnd"/>
          </w:p>
        </w:tc>
        <w:tc>
          <w:tcPr>
            <w:tcW w:w="4820" w:type="dxa"/>
            <w:hideMark/>
          </w:tcPr>
          <w:p w14:paraId="4B6D1780" w14:textId="12E74714" w:rsidR="007D76F4" w:rsidRPr="00C834C7" w:rsidRDefault="007D76F4">
            <w:pPr>
              <w:rPr>
                <w:sz w:val="12"/>
                <w:szCs w:val="12"/>
              </w:rPr>
            </w:pPr>
            <w:r w:rsidRPr="00C834C7">
              <w:rPr>
                <w:sz w:val="12"/>
                <w:szCs w:val="12"/>
              </w:rPr>
              <w:t>Este trabajo estima el impacto distributivo de las asignaciones universales por hijo en Argentina a pocos meses de su implementación. El estudio contribuye con estimaciones de su potencial impacto directo sobre un conjunto de variables, incluyendo la pobreza y la desigualdad monetarias. El documento sostiene que el país ha avanzado en la dirección correcta en términos de basar su política social en un masivo programa de transferencias de ingreso, pero alerta sobre la necesidad de mejorar su estructura y asegurar su</w:t>
            </w:r>
            <w:r w:rsidRPr="00C834C7">
              <w:rPr>
                <w:sz w:val="12"/>
                <w:szCs w:val="12"/>
              </w:rPr>
              <w:br/>
              <w:t>sustentabilidad, y señala algunas alternativas de implementación.</w:t>
            </w:r>
          </w:p>
        </w:tc>
        <w:tc>
          <w:tcPr>
            <w:tcW w:w="1246" w:type="dxa"/>
            <w:noWrap/>
            <w:hideMark/>
          </w:tcPr>
          <w:p w14:paraId="332B7134" w14:textId="56449CEF" w:rsidR="007D76F4" w:rsidRPr="00C834C7" w:rsidRDefault="002C04F6">
            <w:pPr>
              <w:rPr>
                <w:sz w:val="16"/>
                <w:szCs w:val="16"/>
              </w:rPr>
            </w:pPr>
            <w:hyperlink r:id="rId11" w:history="1">
              <w:r w:rsidR="007D76F4" w:rsidRPr="00C834C7">
                <w:rPr>
                  <w:rStyle w:val="Hyperlink"/>
                  <w:sz w:val="16"/>
                  <w:szCs w:val="16"/>
                </w:rPr>
                <w:t>https://revistas.unlp.edu.ar/Economica/article/download/5370/4399/</w:t>
              </w:r>
              <w:r w:rsidR="007D76F4" w:rsidRPr="00C834C7">
                <w:rPr>
                  <w:rStyle w:val="Hyperlink"/>
                  <w:sz w:val="16"/>
                  <w:szCs w:val="16"/>
                </w:rPr>
                <w:br/>
              </w:r>
            </w:hyperlink>
          </w:p>
        </w:tc>
      </w:tr>
      <w:tr w:rsidR="007D76F4" w:rsidRPr="00C834C7" w14:paraId="4DF84851" w14:textId="77777777" w:rsidTr="007D76F4">
        <w:trPr>
          <w:trHeight w:val="2016"/>
        </w:trPr>
        <w:tc>
          <w:tcPr>
            <w:tcW w:w="2235" w:type="dxa"/>
            <w:hideMark/>
          </w:tcPr>
          <w:p w14:paraId="0D084CF5" w14:textId="7C9343FF" w:rsidR="007D76F4" w:rsidRPr="00C834C7" w:rsidRDefault="007D76F4">
            <w:pPr>
              <w:rPr>
                <w:b/>
                <w:bCs/>
                <w:sz w:val="20"/>
                <w:szCs w:val="20"/>
              </w:rPr>
            </w:pPr>
            <w:r w:rsidRPr="00C834C7">
              <w:rPr>
                <w:b/>
                <w:bCs/>
                <w:sz w:val="20"/>
                <w:szCs w:val="20"/>
                <w:lang w:val="en-US"/>
              </w:rPr>
              <w:t xml:space="preserve">Jere R. </w:t>
            </w:r>
            <w:proofErr w:type="gramStart"/>
            <w:r w:rsidRPr="00C834C7">
              <w:rPr>
                <w:b/>
                <w:bCs/>
                <w:sz w:val="20"/>
                <w:szCs w:val="20"/>
                <w:lang w:val="en-US"/>
              </w:rPr>
              <w:t>Behrman  Susan</w:t>
            </w:r>
            <w:proofErr w:type="gramEnd"/>
            <w:r w:rsidRPr="00C834C7">
              <w:rPr>
                <w:b/>
                <w:bCs/>
                <w:sz w:val="20"/>
                <w:szCs w:val="20"/>
                <w:lang w:val="en-US"/>
              </w:rPr>
              <w:t xml:space="preserve"> W. Parker Petra E. Todd (2010) "Do Conditional Cash Transfers for Schooling Generate Lasting Benefits? A Five-Year </w:t>
            </w:r>
            <w:proofErr w:type="spellStart"/>
            <w:r w:rsidRPr="00C834C7">
              <w:rPr>
                <w:b/>
                <w:bCs/>
                <w:sz w:val="20"/>
                <w:szCs w:val="20"/>
                <w:lang w:val="en-US"/>
              </w:rPr>
              <w:t>Followup</w:t>
            </w:r>
            <w:proofErr w:type="spellEnd"/>
            <w:r w:rsidRPr="00C834C7">
              <w:rPr>
                <w:b/>
                <w:bCs/>
                <w:sz w:val="20"/>
                <w:szCs w:val="20"/>
                <w:lang w:val="en-US"/>
              </w:rPr>
              <w:t xml:space="preserve"> of PROGRESA/</w:t>
            </w:r>
            <w:proofErr w:type="spellStart"/>
            <w:r w:rsidRPr="00C834C7">
              <w:rPr>
                <w:b/>
                <w:bCs/>
                <w:sz w:val="20"/>
                <w:szCs w:val="20"/>
                <w:lang w:val="en-US"/>
              </w:rPr>
              <w:t>Oportunidades</w:t>
            </w:r>
            <w:proofErr w:type="spellEnd"/>
            <w:r w:rsidRPr="00C834C7">
              <w:rPr>
                <w:b/>
                <w:bCs/>
                <w:sz w:val="20"/>
                <w:szCs w:val="20"/>
                <w:lang w:val="en-US"/>
              </w:rPr>
              <w:t xml:space="preserve">" </w:t>
            </w:r>
          </w:p>
        </w:tc>
        <w:tc>
          <w:tcPr>
            <w:tcW w:w="1275" w:type="dxa"/>
            <w:hideMark/>
          </w:tcPr>
          <w:p w14:paraId="127D19D0" w14:textId="18DFE584" w:rsidR="007D76F4" w:rsidRPr="00C834C7" w:rsidRDefault="007D76F4">
            <w:pPr>
              <w:rPr>
                <w:sz w:val="16"/>
                <w:szCs w:val="16"/>
              </w:rPr>
            </w:pPr>
            <w:r w:rsidRPr="00C834C7">
              <w:rPr>
                <w:sz w:val="16"/>
                <w:szCs w:val="16"/>
              </w:rPr>
              <w:t xml:space="preserve">Ingresos Oferta y Educación - DD + PSMATCHING (REGRESION, NO PROBIT) </w:t>
            </w:r>
          </w:p>
        </w:tc>
        <w:tc>
          <w:tcPr>
            <w:tcW w:w="4820" w:type="dxa"/>
            <w:hideMark/>
          </w:tcPr>
          <w:p w14:paraId="64540CFD" w14:textId="76CB6C58" w:rsidR="007D76F4" w:rsidRPr="00C834C7" w:rsidRDefault="007D76F4">
            <w:pPr>
              <w:rPr>
                <w:sz w:val="12"/>
                <w:szCs w:val="12"/>
              </w:rPr>
            </w:pPr>
            <w:r w:rsidRPr="00C834C7">
              <w:rPr>
                <w:sz w:val="12"/>
                <w:szCs w:val="12"/>
                <w:lang w:val="en-US"/>
              </w:rPr>
              <w:t xml:space="preserve">Conditional cash transfer (CCT) programs link public transfers to human capital investment in hopes of alleviating current poverty and reducing its intergenerational transmission. However, little is known about their </w:t>
            </w:r>
            <w:proofErr w:type="spellStart"/>
            <w:proofErr w:type="gramStart"/>
            <w:r w:rsidRPr="00C834C7">
              <w:rPr>
                <w:sz w:val="12"/>
                <w:szCs w:val="12"/>
                <w:lang w:val="en-US"/>
              </w:rPr>
              <w:t>longterm</w:t>
            </w:r>
            <w:proofErr w:type="spellEnd"/>
            <w:r w:rsidRPr="00C834C7">
              <w:rPr>
                <w:sz w:val="12"/>
                <w:szCs w:val="12"/>
                <w:lang w:val="en-US"/>
              </w:rPr>
              <w:t xml:space="preserve">  impacts</w:t>
            </w:r>
            <w:proofErr w:type="gramEnd"/>
            <w:r w:rsidRPr="00C834C7">
              <w:rPr>
                <w:sz w:val="12"/>
                <w:szCs w:val="12"/>
                <w:lang w:val="en-US"/>
              </w:rPr>
              <w:t>. This paper evaluates longer-run impacts on schooling and work of the best-known CCT program, Mexico’s PROGRESA/</w:t>
            </w:r>
            <w:proofErr w:type="spellStart"/>
            <w:r w:rsidRPr="00C834C7">
              <w:rPr>
                <w:sz w:val="12"/>
                <w:szCs w:val="12"/>
                <w:lang w:val="en-US"/>
              </w:rPr>
              <w:t>Oportunidades</w:t>
            </w:r>
            <w:proofErr w:type="spellEnd"/>
            <w:r w:rsidRPr="00C834C7">
              <w:rPr>
                <w:sz w:val="12"/>
                <w:szCs w:val="12"/>
                <w:lang w:val="en-US"/>
              </w:rPr>
              <w:t xml:space="preserve">, using experimental and nonexperimental estimators based on groups with different program exposure. The results show positive impacts on schooling, reductions in work for younger youth (consistent with postponing labor force entry), increases in work for older girls, and shifts from agricultural to nonagricultural employment. </w:t>
            </w:r>
            <w:proofErr w:type="spellStart"/>
            <w:r w:rsidRPr="00C834C7">
              <w:rPr>
                <w:sz w:val="12"/>
                <w:szCs w:val="12"/>
              </w:rPr>
              <w:t>The</w:t>
            </w:r>
            <w:proofErr w:type="spellEnd"/>
            <w:r w:rsidRPr="00C834C7">
              <w:rPr>
                <w:sz w:val="12"/>
                <w:szCs w:val="12"/>
              </w:rPr>
              <w:t xml:space="preserve"> </w:t>
            </w:r>
            <w:proofErr w:type="spellStart"/>
            <w:r w:rsidRPr="00C834C7">
              <w:rPr>
                <w:sz w:val="12"/>
                <w:szCs w:val="12"/>
              </w:rPr>
              <w:t>evidence</w:t>
            </w:r>
            <w:proofErr w:type="spellEnd"/>
            <w:r w:rsidRPr="00C834C7">
              <w:rPr>
                <w:sz w:val="12"/>
                <w:szCs w:val="12"/>
              </w:rPr>
              <w:t xml:space="preserve"> </w:t>
            </w:r>
            <w:proofErr w:type="spellStart"/>
            <w:r w:rsidRPr="00C834C7">
              <w:rPr>
                <w:sz w:val="12"/>
                <w:szCs w:val="12"/>
              </w:rPr>
              <w:t>suggests</w:t>
            </w:r>
            <w:proofErr w:type="spellEnd"/>
            <w:r w:rsidRPr="00C834C7">
              <w:rPr>
                <w:sz w:val="12"/>
                <w:szCs w:val="12"/>
              </w:rPr>
              <w:t xml:space="preserve"> </w:t>
            </w:r>
            <w:proofErr w:type="spellStart"/>
            <w:r w:rsidRPr="00C834C7">
              <w:rPr>
                <w:sz w:val="12"/>
                <w:szCs w:val="12"/>
              </w:rPr>
              <w:t>schooling</w:t>
            </w:r>
            <w:proofErr w:type="spellEnd"/>
            <w:r w:rsidRPr="00C834C7">
              <w:rPr>
                <w:sz w:val="12"/>
                <w:szCs w:val="12"/>
              </w:rPr>
              <w:t xml:space="preserve"> </w:t>
            </w:r>
            <w:proofErr w:type="spellStart"/>
            <w:r w:rsidRPr="00C834C7">
              <w:rPr>
                <w:sz w:val="12"/>
                <w:szCs w:val="12"/>
              </w:rPr>
              <w:t>effects</w:t>
            </w:r>
            <w:proofErr w:type="spellEnd"/>
            <w:r w:rsidRPr="00C834C7">
              <w:rPr>
                <w:sz w:val="12"/>
                <w:szCs w:val="12"/>
              </w:rPr>
              <w:t xml:space="preserve"> are </w:t>
            </w:r>
            <w:proofErr w:type="spellStart"/>
            <w:r w:rsidRPr="00C834C7">
              <w:rPr>
                <w:sz w:val="12"/>
                <w:szCs w:val="12"/>
              </w:rPr>
              <w:t>robust</w:t>
            </w:r>
            <w:proofErr w:type="spellEnd"/>
            <w:r w:rsidRPr="00C834C7">
              <w:rPr>
                <w:sz w:val="12"/>
                <w:szCs w:val="12"/>
              </w:rPr>
              <w:t xml:space="preserve"> </w:t>
            </w:r>
            <w:proofErr w:type="spellStart"/>
            <w:r w:rsidRPr="00C834C7">
              <w:rPr>
                <w:sz w:val="12"/>
                <w:szCs w:val="12"/>
              </w:rPr>
              <w:t>with</w:t>
            </w:r>
            <w:proofErr w:type="spellEnd"/>
            <w:r w:rsidRPr="00C834C7">
              <w:rPr>
                <w:sz w:val="12"/>
                <w:szCs w:val="12"/>
              </w:rPr>
              <w:t xml:space="preserve"> time. </w:t>
            </w:r>
          </w:p>
        </w:tc>
        <w:tc>
          <w:tcPr>
            <w:tcW w:w="1246" w:type="dxa"/>
            <w:hideMark/>
          </w:tcPr>
          <w:p w14:paraId="07832A3E" w14:textId="6091F57D" w:rsidR="007D76F4" w:rsidRPr="00C834C7" w:rsidRDefault="002C04F6">
            <w:pPr>
              <w:rPr>
                <w:sz w:val="16"/>
                <w:szCs w:val="16"/>
                <w:u w:val="single"/>
              </w:rPr>
            </w:pPr>
            <w:hyperlink r:id="rId12" w:history="1">
              <w:r w:rsidR="007D76F4" w:rsidRPr="00C834C7">
                <w:rPr>
                  <w:rStyle w:val="Hyperlink"/>
                  <w:sz w:val="16"/>
                  <w:szCs w:val="16"/>
                </w:rPr>
                <w:t>https://www.dropbox.com/s/er50v6ijditkd98/behrman2010.pdf?dl=0</w:t>
              </w:r>
              <w:r w:rsidR="007D76F4" w:rsidRPr="00C834C7">
                <w:rPr>
                  <w:rStyle w:val="Hyperlink"/>
                  <w:sz w:val="16"/>
                  <w:szCs w:val="16"/>
                </w:rPr>
                <w:br/>
              </w:r>
            </w:hyperlink>
          </w:p>
        </w:tc>
      </w:tr>
      <w:tr w:rsidR="007D76F4" w:rsidRPr="002C04F6" w14:paraId="3F8637C5" w14:textId="77777777" w:rsidTr="007D76F4">
        <w:trPr>
          <w:trHeight w:val="1728"/>
        </w:trPr>
        <w:tc>
          <w:tcPr>
            <w:tcW w:w="2235" w:type="dxa"/>
            <w:hideMark/>
          </w:tcPr>
          <w:p w14:paraId="48FB2351" w14:textId="0863C1AE" w:rsidR="007D76F4" w:rsidRPr="00C834C7" w:rsidRDefault="007D76F4">
            <w:pPr>
              <w:rPr>
                <w:b/>
                <w:bCs/>
                <w:sz w:val="20"/>
                <w:szCs w:val="20"/>
                <w:lang w:val="en-US"/>
              </w:rPr>
            </w:pPr>
            <w:r w:rsidRPr="00C834C7">
              <w:rPr>
                <w:b/>
                <w:bCs/>
                <w:sz w:val="20"/>
                <w:szCs w:val="20"/>
                <w:lang w:val="en-US"/>
              </w:rPr>
              <w:t xml:space="preserve">Fifty Years of Mincer Earnings Regressions, James J. </w:t>
            </w:r>
            <w:proofErr w:type="gramStart"/>
            <w:r w:rsidRPr="00C834C7">
              <w:rPr>
                <w:b/>
                <w:bCs/>
                <w:sz w:val="20"/>
                <w:szCs w:val="20"/>
                <w:lang w:val="en-US"/>
              </w:rPr>
              <w:t>Heckman,  Lance</w:t>
            </w:r>
            <w:proofErr w:type="gramEnd"/>
            <w:r w:rsidRPr="00C834C7">
              <w:rPr>
                <w:b/>
                <w:bCs/>
                <w:sz w:val="20"/>
                <w:szCs w:val="20"/>
                <w:lang w:val="en-US"/>
              </w:rPr>
              <w:t xml:space="preserve"> J. Lochner and Petra E. Todd</w:t>
            </w:r>
          </w:p>
        </w:tc>
        <w:tc>
          <w:tcPr>
            <w:tcW w:w="1275" w:type="dxa"/>
            <w:hideMark/>
          </w:tcPr>
          <w:p w14:paraId="6586B6BC" w14:textId="74BB653E" w:rsidR="007D76F4" w:rsidRPr="00C834C7" w:rsidRDefault="007D76F4">
            <w:pPr>
              <w:rPr>
                <w:sz w:val="16"/>
                <w:szCs w:val="16"/>
              </w:rPr>
            </w:pPr>
            <w:r w:rsidRPr="00C834C7">
              <w:rPr>
                <w:sz w:val="16"/>
                <w:szCs w:val="16"/>
              </w:rPr>
              <w:t xml:space="preserve">Educación - </w:t>
            </w:r>
            <w:proofErr w:type="spellStart"/>
            <w:r w:rsidRPr="00C834C7">
              <w:rPr>
                <w:sz w:val="16"/>
                <w:szCs w:val="16"/>
              </w:rPr>
              <w:t>Regs</w:t>
            </w:r>
            <w:proofErr w:type="spellEnd"/>
            <w:r w:rsidRPr="00C834C7">
              <w:rPr>
                <w:sz w:val="16"/>
                <w:szCs w:val="16"/>
              </w:rPr>
              <w:t>. y TIR</w:t>
            </w:r>
          </w:p>
        </w:tc>
        <w:tc>
          <w:tcPr>
            <w:tcW w:w="4820" w:type="dxa"/>
            <w:hideMark/>
          </w:tcPr>
          <w:p w14:paraId="7C1D421B" w14:textId="1E105363" w:rsidR="007D76F4" w:rsidRPr="007D76F4" w:rsidRDefault="007D76F4">
            <w:pPr>
              <w:rPr>
                <w:sz w:val="12"/>
                <w:szCs w:val="12"/>
                <w:lang w:val="en-US"/>
              </w:rPr>
            </w:pPr>
            <w:r w:rsidRPr="00C834C7">
              <w:rPr>
                <w:sz w:val="12"/>
                <w:szCs w:val="12"/>
                <w:lang w:val="en-US"/>
              </w:rPr>
              <w:t>The Mincer earnings function is the cornerstone of a large literature in empirical eco-</w:t>
            </w:r>
            <w:r w:rsidRPr="00C834C7">
              <w:rPr>
                <w:sz w:val="12"/>
                <w:szCs w:val="12"/>
                <w:lang w:val="en-US"/>
              </w:rPr>
              <w:br/>
              <w:t>nomics. This paper discusses the theoretical foundations of the Mincer model and examines</w:t>
            </w:r>
            <w:r w:rsidRPr="00C834C7">
              <w:rPr>
                <w:sz w:val="12"/>
                <w:szCs w:val="12"/>
                <w:lang w:val="en-US"/>
              </w:rPr>
              <w:br/>
              <w:t>the empirical support for it using data from Decennial Censuses and Current Population</w:t>
            </w:r>
            <w:r w:rsidRPr="00C834C7">
              <w:rPr>
                <w:sz w:val="12"/>
                <w:szCs w:val="12"/>
                <w:lang w:val="en-US"/>
              </w:rPr>
              <w:br/>
              <w:t>surveys. While data from the 1940 and 1950 Censuses provide some support for Mincer's</w:t>
            </w:r>
            <w:r w:rsidRPr="00C834C7">
              <w:rPr>
                <w:sz w:val="12"/>
                <w:szCs w:val="12"/>
                <w:lang w:val="en-US"/>
              </w:rPr>
              <w:br/>
              <w:t>model, data from later decades are inconsistent with it. We examine the importance of</w:t>
            </w:r>
            <w:r w:rsidRPr="00C834C7">
              <w:rPr>
                <w:sz w:val="12"/>
                <w:szCs w:val="12"/>
                <w:lang w:val="en-US"/>
              </w:rPr>
              <w:br/>
              <w:t>relaxing functional form assumptions in estimating internal rates of return to schooling</w:t>
            </w:r>
            <w:r w:rsidRPr="00C834C7">
              <w:rPr>
                <w:sz w:val="12"/>
                <w:szCs w:val="12"/>
                <w:lang w:val="en-US"/>
              </w:rPr>
              <w:br/>
              <w:t xml:space="preserve">and in accounting for taxes, tuition, nonlinearity in schooling, and </w:t>
            </w:r>
            <w:proofErr w:type="spellStart"/>
            <w:r w:rsidRPr="00C834C7">
              <w:rPr>
                <w:sz w:val="12"/>
                <w:szCs w:val="12"/>
                <w:lang w:val="en-US"/>
              </w:rPr>
              <w:t>nonseparability</w:t>
            </w:r>
            <w:proofErr w:type="spellEnd"/>
            <w:r w:rsidRPr="00C834C7">
              <w:rPr>
                <w:sz w:val="12"/>
                <w:szCs w:val="12"/>
                <w:lang w:val="en-US"/>
              </w:rPr>
              <w:t xml:space="preserve"> between</w:t>
            </w:r>
            <w:r w:rsidRPr="00C834C7">
              <w:rPr>
                <w:sz w:val="12"/>
                <w:szCs w:val="12"/>
                <w:lang w:val="en-US"/>
              </w:rPr>
              <w:br/>
              <w:t>schooling and work experience. Inferences about trends in rates of return to high school and</w:t>
            </w:r>
            <w:r w:rsidRPr="00C834C7">
              <w:rPr>
                <w:sz w:val="12"/>
                <w:szCs w:val="12"/>
                <w:lang w:val="en-US"/>
              </w:rPr>
              <w:br/>
              <w:t xml:space="preserve">college obtained from our more general model </w:t>
            </w:r>
            <w:proofErr w:type="spellStart"/>
            <w:r w:rsidRPr="00C834C7">
              <w:rPr>
                <w:sz w:val="12"/>
                <w:szCs w:val="12"/>
                <w:lang w:val="en-US"/>
              </w:rPr>
              <w:t>di®er</w:t>
            </w:r>
            <w:proofErr w:type="spellEnd"/>
            <w:r w:rsidRPr="00C834C7">
              <w:rPr>
                <w:sz w:val="12"/>
                <w:szCs w:val="12"/>
                <w:lang w:val="en-US"/>
              </w:rPr>
              <w:t xml:space="preserve"> substantially from inferences drawn</w:t>
            </w:r>
            <w:r w:rsidRPr="00C834C7">
              <w:rPr>
                <w:sz w:val="12"/>
                <w:szCs w:val="12"/>
                <w:lang w:val="en-US"/>
              </w:rPr>
              <w:br/>
              <w:t xml:space="preserve">from estimates based on a Mincer earnings regression. Important </w:t>
            </w:r>
            <w:proofErr w:type="spellStart"/>
            <w:r w:rsidRPr="00C834C7">
              <w:rPr>
                <w:sz w:val="12"/>
                <w:szCs w:val="12"/>
                <w:lang w:val="en-US"/>
              </w:rPr>
              <w:t>di®erences</w:t>
            </w:r>
            <w:proofErr w:type="spellEnd"/>
            <w:r w:rsidRPr="00C834C7">
              <w:rPr>
                <w:sz w:val="12"/>
                <w:szCs w:val="12"/>
                <w:lang w:val="en-US"/>
              </w:rPr>
              <w:t xml:space="preserve"> also arise</w:t>
            </w:r>
            <w:r w:rsidRPr="00C834C7">
              <w:rPr>
                <w:sz w:val="12"/>
                <w:szCs w:val="12"/>
                <w:lang w:val="en-US"/>
              </w:rPr>
              <w:br/>
              <w:t>between cohort-based and cross-sectional estimates of the rate of return to school. In the</w:t>
            </w:r>
            <w:r w:rsidRPr="00C834C7">
              <w:rPr>
                <w:sz w:val="12"/>
                <w:szCs w:val="12"/>
                <w:lang w:val="en-US"/>
              </w:rPr>
              <w:br/>
              <w:t>recent period of rapid technological change, widely used cross-sectional applications of the</w:t>
            </w:r>
            <w:r w:rsidRPr="00C834C7">
              <w:rPr>
                <w:sz w:val="12"/>
                <w:szCs w:val="12"/>
                <w:lang w:val="en-US"/>
              </w:rPr>
              <w:br/>
              <w:t>Mincer model produce dramatically biased estimates of cohort returns to schooling. We</w:t>
            </w:r>
            <w:r w:rsidRPr="00C834C7">
              <w:rPr>
                <w:sz w:val="12"/>
                <w:szCs w:val="12"/>
                <w:lang w:val="en-US"/>
              </w:rPr>
              <w:br/>
              <w:t>also examine the implications of accounting for uncertainty and agent expectation forma-</w:t>
            </w:r>
            <w:r w:rsidRPr="00C834C7">
              <w:rPr>
                <w:sz w:val="12"/>
                <w:szCs w:val="12"/>
                <w:lang w:val="en-US"/>
              </w:rPr>
              <w:br/>
            </w:r>
            <w:proofErr w:type="spellStart"/>
            <w:r w:rsidRPr="00C834C7">
              <w:rPr>
                <w:sz w:val="12"/>
                <w:szCs w:val="12"/>
                <w:lang w:val="en-US"/>
              </w:rPr>
              <w:t>tion</w:t>
            </w:r>
            <w:proofErr w:type="spellEnd"/>
            <w:r w:rsidRPr="00C834C7">
              <w:rPr>
                <w:sz w:val="12"/>
                <w:szCs w:val="12"/>
                <w:lang w:val="en-US"/>
              </w:rPr>
              <w:t>. Even when the static framework of Mincer is maintained, accounting for uncertainty</w:t>
            </w:r>
            <w:r w:rsidRPr="00C834C7">
              <w:rPr>
                <w:sz w:val="12"/>
                <w:szCs w:val="12"/>
                <w:lang w:val="en-US"/>
              </w:rPr>
              <w:br/>
              <w:t xml:space="preserve">substantially </w:t>
            </w:r>
            <w:proofErr w:type="spellStart"/>
            <w:r w:rsidRPr="00C834C7">
              <w:rPr>
                <w:sz w:val="12"/>
                <w:szCs w:val="12"/>
                <w:lang w:val="en-US"/>
              </w:rPr>
              <w:t>a®ects</w:t>
            </w:r>
            <w:proofErr w:type="spellEnd"/>
            <w:r w:rsidRPr="00C834C7">
              <w:rPr>
                <w:sz w:val="12"/>
                <w:szCs w:val="12"/>
                <w:lang w:val="en-US"/>
              </w:rPr>
              <w:t xml:space="preserve"> rate of return estimates. Considering the sequential resolution of un-</w:t>
            </w:r>
            <w:r w:rsidRPr="00C834C7">
              <w:rPr>
                <w:sz w:val="12"/>
                <w:szCs w:val="12"/>
                <w:lang w:val="en-US"/>
              </w:rPr>
              <w:br/>
              <w:t>certainty over time in a dynamic setting gives rise to option values, which fundamentally</w:t>
            </w:r>
            <w:r w:rsidRPr="00C834C7">
              <w:rPr>
                <w:sz w:val="12"/>
                <w:szCs w:val="12"/>
                <w:lang w:val="en-US"/>
              </w:rPr>
              <w:br/>
              <w:t>changes the analysis of schooling decisions. In the presence of sequential resolution of un-</w:t>
            </w:r>
            <w:r w:rsidRPr="00C834C7">
              <w:rPr>
                <w:sz w:val="12"/>
                <w:szCs w:val="12"/>
                <w:lang w:val="en-US"/>
              </w:rPr>
              <w:br/>
              <w:t>certainty and option values, the internal rate of return - a cornerstone of classical human</w:t>
            </w:r>
            <w:r w:rsidRPr="00C834C7">
              <w:rPr>
                <w:sz w:val="12"/>
                <w:szCs w:val="12"/>
                <w:lang w:val="en-US"/>
              </w:rPr>
              <w:br/>
              <w:t>capital theory - is not a useful guide to policy analysis.</w:t>
            </w:r>
          </w:p>
        </w:tc>
        <w:tc>
          <w:tcPr>
            <w:tcW w:w="1246" w:type="dxa"/>
            <w:hideMark/>
          </w:tcPr>
          <w:p w14:paraId="097DF0A9" w14:textId="22023467" w:rsidR="007D76F4" w:rsidRPr="007D76F4" w:rsidRDefault="002C04F6">
            <w:pPr>
              <w:rPr>
                <w:sz w:val="16"/>
                <w:szCs w:val="16"/>
                <w:u w:val="single"/>
                <w:lang w:val="en-US"/>
              </w:rPr>
            </w:pPr>
            <w:r>
              <w:fldChar w:fldCharType="begin"/>
            </w:r>
            <w:r w:rsidRPr="002C04F6">
              <w:rPr>
                <w:lang w:val="en-US"/>
              </w:rPr>
              <w:instrText xml:space="preserve"> HYPERLINK "https://www.dropbox.com/s/wzpkisjcmt59pn0/heckman-lochner_</w:instrText>
            </w:r>
            <w:r w:rsidRPr="002C04F6">
              <w:rPr>
                <w:lang w:val="en-US"/>
              </w:rPr>
              <w:instrText xml:space="preserve">50yearsofMincer.pdf?dl=0" </w:instrText>
            </w:r>
            <w:r>
              <w:fldChar w:fldCharType="separate"/>
            </w:r>
            <w:r w:rsidR="007D76F4" w:rsidRPr="00C834C7">
              <w:rPr>
                <w:rStyle w:val="Hyperlink"/>
                <w:sz w:val="16"/>
                <w:szCs w:val="16"/>
                <w:lang w:val="en-US"/>
              </w:rPr>
              <w:t>https://www.dropbox.com/s/wzpkisjcmt59pn0/heckman-lochner_50yearsofMincer.pdf?dl=0</w:t>
            </w:r>
            <w:r w:rsidR="007D76F4" w:rsidRPr="00C834C7">
              <w:rPr>
                <w:rStyle w:val="Hyperlink"/>
                <w:sz w:val="16"/>
                <w:szCs w:val="16"/>
                <w:lang w:val="en-US"/>
              </w:rPr>
              <w:br/>
            </w:r>
            <w:r>
              <w:rPr>
                <w:rStyle w:val="Hyperlink"/>
                <w:sz w:val="16"/>
                <w:szCs w:val="16"/>
                <w:lang w:val="en-US"/>
              </w:rPr>
              <w:fldChar w:fldCharType="end"/>
            </w:r>
          </w:p>
        </w:tc>
      </w:tr>
      <w:tr w:rsidR="007D76F4" w:rsidRPr="002C04F6" w14:paraId="0C45A856" w14:textId="77777777" w:rsidTr="007D76F4">
        <w:trPr>
          <w:trHeight w:val="3120"/>
        </w:trPr>
        <w:tc>
          <w:tcPr>
            <w:tcW w:w="2235" w:type="dxa"/>
            <w:hideMark/>
          </w:tcPr>
          <w:p w14:paraId="1B165922" w14:textId="443E7215" w:rsidR="007D76F4" w:rsidRPr="00C834C7" w:rsidRDefault="007D76F4">
            <w:pPr>
              <w:rPr>
                <w:b/>
                <w:bCs/>
                <w:sz w:val="20"/>
                <w:szCs w:val="20"/>
                <w:lang w:val="en-US"/>
              </w:rPr>
            </w:pPr>
            <w:r w:rsidRPr="00C834C7">
              <w:rPr>
                <w:b/>
                <w:bCs/>
                <w:sz w:val="20"/>
                <w:szCs w:val="20"/>
                <w:lang w:val="en-US"/>
              </w:rPr>
              <w:lastRenderedPageBreak/>
              <w:t>Feldstein y Altman (1998): “Unemployment Insurance Savings Accounts” NBER W P 6860.</w:t>
            </w:r>
          </w:p>
        </w:tc>
        <w:tc>
          <w:tcPr>
            <w:tcW w:w="1275" w:type="dxa"/>
            <w:hideMark/>
          </w:tcPr>
          <w:p w14:paraId="43663BA7" w14:textId="0F66D656" w:rsidR="007D76F4" w:rsidRPr="00C834C7" w:rsidRDefault="007D76F4">
            <w:pPr>
              <w:rPr>
                <w:sz w:val="16"/>
                <w:szCs w:val="16"/>
              </w:rPr>
            </w:pPr>
            <w:r w:rsidRPr="00C834C7">
              <w:rPr>
                <w:sz w:val="16"/>
                <w:szCs w:val="16"/>
              </w:rPr>
              <w:t>Seguro de desempleo / Simulaciones</w:t>
            </w:r>
          </w:p>
        </w:tc>
        <w:tc>
          <w:tcPr>
            <w:tcW w:w="4820" w:type="dxa"/>
            <w:hideMark/>
          </w:tcPr>
          <w:p w14:paraId="440B4864" w14:textId="6C37B6BD" w:rsidR="007D76F4" w:rsidRPr="00C834C7" w:rsidRDefault="007D76F4">
            <w:pPr>
              <w:rPr>
                <w:sz w:val="12"/>
                <w:szCs w:val="12"/>
                <w:lang w:val="en-US"/>
              </w:rPr>
            </w:pPr>
            <w:r w:rsidRPr="00C834C7">
              <w:rPr>
                <w:sz w:val="12"/>
                <w:szCs w:val="12"/>
                <w:lang w:val="en-US"/>
              </w:rPr>
              <w:t>We exam</w:t>
            </w:r>
            <w:r>
              <w:rPr>
                <w:sz w:val="12"/>
                <w:szCs w:val="12"/>
                <w:lang w:val="en-US"/>
              </w:rPr>
              <w:t>ine</w:t>
            </w:r>
            <w:r w:rsidRPr="00C834C7">
              <w:rPr>
                <w:sz w:val="12"/>
                <w:szCs w:val="12"/>
                <w:lang w:val="en-US"/>
              </w:rPr>
              <w:t xml:space="preserve"> a system of Unemployment Insurance Saving Accounts (UISAs) as an alternative to the traditional unemployment insurance system. Individuals are required to save up to 4 percent of wages in special accounts and to draw unemployment compensation from these accounts instead of taking state unemployment insurance benefits. </w:t>
            </w:r>
          </w:p>
        </w:tc>
        <w:tc>
          <w:tcPr>
            <w:tcW w:w="1246" w:type="dxa"/>
            <w:hideMark/>
          </w:tcPr>
          <w:p w14:paraId="7FE4EC2E" w14:textId="7D592CF6" w:rsidR="007D76F4" w:rsidRPr="00C834C7" w:rsidRDefault="002C04F6">
            <w:pPr>
              <w:rPr>
                <w:sz w:val="16"/>
                <w:szCs w:val="16"/>
                <w:u w:val="single"/>
                <w:lang w:val="en-US"/>
              </w:rPr>
            </w:pPr>
            <w:r>
              <w:fldChar w:fldCharType="begin"/>
            </w:r>
            <w:r w:rsidRPr="002C04F6">
              <w:rPr>
                <w:lang w:val="en-US"/>
              </w:rPr>
              <w:instrText xml:space="preserve"> HYPERLINK "https://www.dropbox.com/s/y83bj6xrwwtjl77/Feldstein-Altman_1998_Unemployment%20Insurance%20Savings%20accounts%20%5Bw6860%5D.pdf?dl=0" </w:instrText>
            </w:r>
            <w:r>
              <w:fldChar w:fldCharType="separate"/>
            </w:r>
            <w:r w:rsidR="007D76F4" w:rsidRPr="00C834C7">
              <w:rPr>
                <w:rStyle w:val="Hyperlink"/>
                <w:sz w:val="16"/>
                <w:szCs w:val="16"/>
                <w:lang w:val="en-US"/>
              </w:rPr>
              <w:t>https://www.dropbox.com/s/y83bj6xrwwtjl77/Feldstein-Altman_1998_Unemployment%20Insurance%20Savings%20accounts%20%5Bw6860%5D.pdf?dl=0</w:t>
            </w:r>
            <w:r w:rsidR="007D76F4" w:rsidRPr="00C834C7">
              <w:rPr>
                <w:rStyle w:val="Hyperlink"/>
                <w:sz w:val="16"/>
                <w:szCs w:val="16"/>
                <w:lang w:val="en-US"/>
              </w:rPr>
              <w:br/>
            </w:r>
            <w:r>
              <w:rPr>
                <w:rStyle w:val="Hyperlink"/>
                <w:sz w:val="16"/>
                <w:szCs w:val="16"/>
                <w:lang w:val="en-US"/>
              </w:rPr>
              <w:fldChar w:fldCharType="end"/>
            </w:r>
          </w:p>
        </w:tc>
      </w:tr>
      <w:tr w:rsidR="007D76F4" w:rsidRPr="002C04F6" w14:paraId="31D7541D" w14:textId="77777777" w:rsidTr="007D76F4">
        <w:trPr>
          <w:trHeight w:val="3480"/>
        </w:trPr>
        <w:tc>
          <w:tcPr>
            <w:tcW w:w="2235" w:type="dxa"/>
            <w:hideMark/>
          </w:tcPr>
          <w:p w14:paraId="67579606" w14:textId="770C2DAD" w:rsidR="007D76F4" w:rsidRPr="00C834C7" w:rsidRDefault="007D76F4">
            <w:pPr>
              <w:rPr>
                <w:b/>
                <w:bCs/>
                <w:sz w:val="20"/>
                <w:szCs w:val="20"/>
                <w:lang w:val="en-US"/>
              </w:rPr>
            </w:pPr>
            <w:r w:rsidRPr="00C834C7">
              <w:rPr>
                <w:b/>
                <w:bCs/>
                <w:sz w:val="20"/>
                <w:szCs w:val="20"/>
                <w:lang w:val="en-US"/>
              </w:rPr>
              <w:t xml:space="preserve">Autor &amp; </w:t>
            </w:r>
            <w:proofErr w:type="spellStart"/>
            <w:r w:rsidRPr="00C834C7">
              <w:rPr>
                <w:b/>
                <w:bCs/>
                <w:sz w:val="20"/>
                <w:szCs w:val="20"/>
                <w:lang w:val="en-US"/>
              </w:rPr>
              <w:t>Salomons</w:t>
            </w:r>
            <w:proofErr w:type="spellEnd"/>
            <w:r w:rsidRPr="00C834C7">
              <w:rPr>
                <w:b/>
                <w:bCs/>
                <w:sz w:val="20"/>
                <w:szCs w:val="20"/>
                <w:lang w:val="en-US"/>
              </w:rPr>
              <w:t xml:space="preserve"> (2018). Is automation labor share displacing? </w:t>
            </w:r>
          </w:p>
        </w:tc>
        <w:tc>
          <w:tcPr>
            <w:tcW w:w="1275" w:type="dxa"/>
            <w:hideMark/>
          </w:tcPr>
          <w:p w14:paraId="26235985" w14:textId="493A4642" w:rsidR="007D76F4" w:rsidRPr="00C834C7" w:rsidRDefault="007D76F4">
            <w:pPr>
              <w:rPr>
                <w:sz w:val="16"/>
                <w:szCs w:val="16"/>
              </w:rPr>
            </w:pPr>
            <w:r w:rsidRPr="00C834C7">
              <w:rPr>
                <w:sz w:val="16"/>
                <w:szCs w:val="16"/>
              </w:rPr>
              <w:t xml:space="preserve">labor share + </w:t>
            </w:r>
            <w:proofErr w:type="spellStart"/>
            <w:r w:rsidRPr="00C834C7">
              <w:rPr>
                <w:sz w:val="16"/>
                <w:szCs w:val="16"/>
              </w:rPr>
              <w:t>automation</w:t>
            </w:r>
            <w:proofErr w:type="spellEnd"/>
            <w:r w:rsidRPr="00C834C7">
              <w:rPr>
                <w:sz w:val="16"/>
                <w:szCs w:val="16"/>
              </w:rPr>
              <w:t xml:space="preserve">. </w:t>
            </w:r>
          </w:p>
        </w:tc>
        <w:tc>
          <w:tcPr>
            <w:tcW w:w="4820" w:type="dxa"/>
            <w:hideMark/>
          </w:tcPr>
          <w:p w14:paraId="352E0807" w14:textId="11C358E7" w:rsidR="007D76F4" w:rsidRPr="00C834C7" w:rsidRDefault="007D76F4">
            <w:pPr>
              <w:rPr>
                <w:sz w:val="12"/>
                <w:szCs w:val="12"/>
                <w:lang w:val="en-US"/>
              </w:rPr>
            </w:pPr>
            <w:r w:rsidRPr="00C834C7">
              <w:rPr>
                <w:sz w:val="12"/>
                <w:szCs w:val="12"/>
                <w:lang w:val="en-US"/>
              </w:rPr>
              <w:t xml:space="preserve">Many technological innovations replace workers with machines. But this capital–labor substitution need not reduce aggregate labor demand, because it simultaneously induces four countervailing responses: own-industry output effects; cross-industry input–output effects; between-industry shifts; and final demand effects. We quantify these channels using four decades of harmonized cross-country and industry data, whereby we measure automation as industry-level movements in total factor productivity that are common across countries. We find that automation displaces employment and reduces labor’s share of value added in the industries where it originates (a direct effect). In the case of employment, these own-industry losses are reversed by indirect gains in customer industries and induced increases in aggregate demand. By </w:t>
            </w:r>
            <w:proofErr w:type="spellStart"/>
            <w:proofErr w:type="gramStart"/>
            <w:r w:rsidRPr="00C834C7">
              <w:rPr>
                <w:sz w:val="12"/>
                <w:szCs w:val="12"/>
                <w:lang w:val="en-US"/>
              </w:rPr>
              <w:t>contrast,own</w:t>
            </w:r>
            <w:proofErr w:type="spellEnd"/>
            <w:proofErr w:type="gramEnd"/>
            <w:r w:rsidRPr="00C834C7">
              <w:rPr>
                <w:sz w:val="12"/>
                <w:szCs w:val="12"/>
                <w:lang w:val="en-US"/>
              </w:rPr>
              <w:t xml:space="preserve">-industry labor share losses are not recouped elsewhere. Our framework can account for </w:t>
            </w:r>
            <w:proofErr w:type="gramStart"/>
            <w:r w:rsidRPr="00C834C7">
              <w:rPr>
                <w:sz w:val="12"/>
                <w:szCs w:val="12"/>
                <w:lang w:val="en-US"/>
              </w:rPr>
              <w:t>a  substantial</w:t>
            </w:r>
            <w:proofErr w:type="gramEnd"/>
            <w:r w:rsidRPr="00C834C7">
              <w:rPr>
                <w:sz w:val="12"/>
                <w:szCs w:val="12"/>
                <w:lang w:val="en-US"/>
              </w:rPr>
              <w:t xml:space="preserve"> fraction of the reallocation of employment across industries and the aggregate fall in the labor share over the last three decades. It does not, however, explain why the labor share fell more rapidly during the 2000s.</w:t>
            </w:r>
          </w:p>
        </w:tc>
        <w:tc>
          <w:tcPr>
            <w:tcW w:w="1246" w:type="dxa"/>
            <w:hideMark/>
          </w:tcPr>
          <w:p w14:paraId="41F6BDAC" w14:textId="5345DDE4" w:rsidR="007D76F4" w:rsidRPr="00C834C7" w:rsidRDefault="002C04F6">
            <w:pPr>
              <w:rPr>
                <w:sz w:val="16"/>
                <w:szCs w:val="16"/>
                <w:u w:val="single"/>
                <w:lang w:val="en-US"/>
              </w:rPr>
            </w:pPr>
            <w:hyperlink r:id="rId13" w:history="1">
              <w:r w:rsidR="007D76F4" w:rsidRPr="00C834C7">
                <w:rPr>
                  <w:rStyle w:val="Hyperlink"/>
                  <w:sz w:val="16"/>
                  <w:szCs w:val="16"/>
                  <w:lang w:val="en-US"/>
                </w:rPr>
                <w:t>https://economics.mit.edu/files/15420</w:t>
              </w:r>
              <w:r w:rsidR="007D76F4" w:rsidRPr="00C834C7">
                <w:rPr>
                  <w:rStyle w:val="Hyperlink"/>
                  <w:sz w:val="16"/>
                  <w:szCs w:val="16"/>
                  <w:lang w:val="en-US"/>
                </w:rPr>
                <w:br/>
              </w:r>
            </w:hyperlink>
          </w:p>
        </w:tc>
      </w:tr>
      <w:tr w:rsidR="007D76F4" w:rsidRPr="002C04F6" w14:paraId="3E736D5F" w14:textId="77777777" w:rsidTr="007D76F4">
        <w:trPr>
          <w:trHeight w:val="1716"/>
        </w:trPr>
        <w:tc>
          <w:tcPr>
            <w:tcW w:w="2235" w:type="dxa"/>
            <w:hideMark/>
          </w:tcPr>
          <w:p w14:paraId="2CC2B434" w14:textId="4D639B7A" w:rsidR="007D76F4" w:rsidRPr="00C834C7" w:rsidRDefault="007D76F4">
            <w:pPr>
              <w:rPr>
                <w:b/>
                <w:bCs/>
                <w:sz w:val="20"/>
                <w:szCs w:val="20"/>
                <w:lang w:val="en-US"/>
              </w:rPr>
            </w:pPr>
            <w:proofErr w:type="spellStart"/>
            <w:r w:rsidRPr="00C834C7">
              <w:rPr>
                <w:b/>
                <w:bCs/>
                <w:sz w:val="20"/>
                <w:szCs w:val="20"/>
                <w:lang w:val="en-US"/>
              </w:rPr>
              <w:t>Karabarbounis</w:t>
            </w:r>
            <w:proofErr w:type="spellEnd"/>
            <w:r w:rsidRPr="00C834C7">
              <w:rPr>
                <w:b/>
                <w:bCs/>
                <w:sz w:val="20"/>
                <w:szCs w:val="20"/>
                <w:lang w:val="en-US"/>
              </w:rPr>
              <w:t xml:space="preserve"> &amp; Neiman (2013) The Global Decline of the Labor Share</w:t>
            </w:r>
          </w:p>
        </w:tc>
        <w:tc>
          <w:tcPr>
            <w:tcW w:w="1275" w:type="dxa"/>
            <w:hideMark/>
          </w:tcPr>
          <w:p w14:paraId="4487F64C" w14:textId="052EEDC9" w:rsidR="007D76F4" w:rsidRPr="007D76F4" w:rsidRDefault="007D76F4">
            <w:pPr>
              <w:rPr>
                <w:sz w:val="16"/>
                <w:szCs w:val="16"/>
                <w:lang w:val="en-US"/>
              </w:rPr>
            </w:pPr>
            <w:proofErr w:type="spellStart"/>
            <w:r w:rsidRPr="00C834C7">
              <w:rPr>
                <w:sz w:val="16"/>
                <w:szCs w:val="16"/>
                <w:lang w:val="en-US"/>
              </w:rPr>
              <w:t>regresión</w:t>
            </w:r>
            <w:proofErr w:type="spellEnd"/>
            <w:r w:rsidRPr="00C834C7">
              <w:rPr>
                <w:sz w:val="16"/>
                <w:szCs w:val="16"/>
                <w:lang w:val="en-US"/>
              </w:rPr>
              <w:t>, labor demand &amp; labor share</w:t>
            </w:r>
          </w:p>
        </w:tc>
        <w:tc>
          <w:tcPr>
            <w:tcW w:w="4820" w:type="dxa"/>
            <w:hideMark/>
          </w:tcPr>
          <w:p w14:paraId="2F009F6C" w14:textId="6165C4E1" w:rsidR="007D76F4" w:rsidRPr="00C834C7" w:rsidRDefault="007D76F4">
            <w:pPr>
              <w:rPr>
                <w:sz w:val="12"/>
                <w:szCs w:val="12"/>
                <w:lang w:val="en-US"/>
              </w:rPr>
            </w:pPr>
            <w:r w:rsidRPr="00C834C7">
              <w:rPr>
                <w:sz w:val="12"/>
                <w:szCs w:val="12"/>
                <w:lang w:val="en-US"/>
              </w:rPr>
              <w:t>The stability of the labor share of income is a key foundation in macroeconomic models. We document, however, that the global labor share has significantly declined since the early 1980s, with the decline occurring within the large majority of countries and industries. We show that the decrease in the relative price of investment goods, often attributed to advances in information technology and the computer age, induced firms to shift away from labor and toward capital. The lower price of investment goods explains roughly half of the observed decline in the labor share, even when we allow for other mechanisms influencing factor shares, such as increasing profits, capital-augmenting technology growth, and the changing skill composition of the labor force. We highlight the implications of this explanation for welfare and macroeconomic dynamics.</w:t>
            </w:r>
          </w:p>
        </w:tc>
        <w:tc>
          <w:tcPr>
            <w:tcW w:w="1246" w:type="dxa"/>
            <w:hideMark/>
          </w:tcPr>
          <w:p w14:paraId="45F0B598" w14:textId="3B960BC8" w:rsidR="007D76F4" w:rsidRPr="00C834C7" w:rsidRDefault="002C04F6">
            <w:pPr>
              <w:rPr>
                <w:sz w:val="16"/>
                <w:szCs w:val="16"/>
                <w:u w:val="single"/>
                <w:lang w:val="en-US"/>
              </w:rPr>
            </w:pPr>
            <w:hyperlink r:id="rId14" w:history="1">
              <w:r w:rsidR="007D76F4" w:rsidRPr="00C834C7">
                <w:rPr>
                  <w:rStyle w:val="Hyperlink"/>
                  <w:sz w:val="16"/>
                  <w:szCs w:val="16"/>
                  <w:lang w:val="en-US"/>
                </w:rPr>
                <w:t>https://academic.oup.com/qje/article-abstract/129/1/61/1899422?redirectedFrom=fulltext</w:t>
              </w:r>
              <w:r w:rsidR="007D76F4" w:rsidRPr="00C834C7">
                <w:rPr>
                  <w:rStyle w:val="Hyperlink"/>
                  <w:sz w:val="16"/>
                  <w:szCs w:val="16"/>
                  <w:lang w:val="en-US"/>
                </w:rPr>
                <w:br/>
              </w:r>
            </w:hyperlink>
          </w:p>
        </w:tc>
      </w:tr>
      <w:tr w:rsidR="007D76F4" w:rsidRPr="002C04F6" w14:paraId="13B437C4" w14:textId="77777777" w:rsidTr="007D76F4">
        <w:trPr>
          <w:trHeight w:val="2304"/>
        </w:trPr>
        <w:tc>
          <w:tcPr>
            <w:tcW w:w="2235" w:type="dxa"/>
            <w:hideMark/>
          </w:tcPr>
          <w:p w14:paraId="6D37B797" w14:textId="1979FECB" w:rsidR="007D76F4" w:rsidRPr="00C834C7" w:rsidRDefault="007D76F4">
            <w:pPr>
              <w:rPr>
                <w:b/>
                <w:bCs/>
                <w:sz w:val="20"/>
                <w:szCs w:val="20"/>
                <w:lang w:val="en-US"/>
              </w:rPr>
            </w:pPr>
            <w:r w:rsidRPr="00C834C7">
              <w:rPr>
                <w:b/>
                <w:bCs/>
                <w:sz w:val="20"/>
                <w:szCs w:val="20"/>
                <w:lang w:val="en-US"/>
              </w:rPr>
              <w:t xml:space="preserve">Banerjee et al (2015), “A multifaceted program causes lasting progress for the very poor: Evidence from six countries” </w:t>
            </w:r>
          </w:p>
        </w:tc>
        <w:tc>
          <w:tcPr>
            <w:tcW w:w="1275" w:type="dxa"/>
            <w:hideMark/>
          </w:tcPr>
          <w:p w14:paraId="0D8B1325" w14:textId="758AF7A6" w:rsidR="007D76F4" w:rsidRPr="00C834C7" w:rsidRDefault="007D76F4">
            <w:pPr>
              <w:rPr>
                <w:sz w:val="16"/>
                <w:szCs w:val="16"/>
                <w:lang w:val="en-US"/>
              </w:rPr>
            </w:pPr>
            <w:r w:rsidRPr="00C834C7">
              <w:rPr>
                <w:sz w:val="16"/>
                <w:szCs w:val="16"/>
                <w:lang w:val="en-US"/>
              </w:rPr>
              <w:t> </w:t>
            </w:r>
          </w:p>
        </w:tc>
        <w:tc>
          <w:tcPr>
            <w:tcW w:w="4820" w:type="dxa"/>
            <w:hideMark/>
          </w:tcPr>
          <w:p w14:paraId="2B6A2C83" w14:textId="42491F98" w:rsidR="007D76F4" w:rsidRPr="00C834C7" w:rsidRDefault="007D76F4">
            <w:pPr>
              <w:rPr>
                <w:sz w:val="12"/>
                <w:szCs w:val="12"/>
                <w:lang w:val="en-US"/>
              </w:rPr>
            </w:pPr>
            <w:r w:rsidRPr="00C834C7">
              <w:rPr>
                <w:sz w:val="12"/>
                <w:szCs w:val="12"/>
                <w:lang w:val="en-US"/>
              </w:rPr>
              <w:t> </w:t>
            </w:r>
          </w:p>
        </w:tc>
        <w:tc>
          <w:tcPr>
            <w:tcW w:w="1246" w:type="dxa"/>
            <w:hideMark/>
          </w:tcPr>
          <w:p w14:paraId="233A6EAA" w14:textId="6A3B5939" w:rsidR="007D76F4" w:rsidRPr="00C834C7" w:rsidRDefault="002C04F6">
            <w:pPr>
              <w:rPr>
                <w:sz w:val="16"/>
                <w:szCs w:val="16"/>
                <w:u w:val="single"/>
                <w:lang w:val="en-US"/>
              </w:rPr>
            </w:pPr>
            <w:hyperlink r:id="rId15" w:history="1">
              <w:r w:rsidR="007D76F4" w:rsidRPr="00C834C7">
                <w:rPr>
                  <w:rStyle w:val="Hyperlink"/>
                  <w:sz w:val="16"/>
                  <w:szCs w:val="16"/>
                  <w:lang w:val="en-US"/>
                </w:rPr>
                <w:t>https://www.dropbox.com/s/mrmajd9vtu6rq76/Banerjeeetal-Science-2015.rar?dl=0</w:t>
              </w:r>
              <w:r w:rsidR="007D76F4" w:rsidRPr="00C834C7">
                <w:rPr>
                  <w:rStyle w:val="Hyperlink"/>
                  <w:sz w:val="16"/>
                  <w:szCs w:val="16"/>
                  <w:lang w:val="en-US"/>
                </w:rPr>
                <w:br/>
              </w:r>
            </w:hyperlink>
          </w:p>
        </w:tc>
      </w:tr>
      <w:tr w:rsidR="002C04F6" w:rsidRPr="002C04F6" w14:paraId="249EE6A6" w14:textId="77777777" w:rsidTr="007D76F4">
        <w:trPr>
          <w:trHeight w:val="2304"/>
        </w:trPr>
        <w:tc>
          <w:tcPr>
            <w:tcW w:w="2235" w:type="dxa"/>
          </w:tcPr>
          <w:p w14:paraId="175748FE" w14:textId="566C0172" w:rsidR="002C04F6" w:rsidRPr="00C834C7" w:rsidRDefault="002C04F6">
            <w:pPr>
              <w:rPr>
                <w:b/>
                <w:bCs/>
                <w:sz w:val="20"/>
                <w:szCs w:val="20"/>
                <w:lang w:val="en-US"/>
              </w:rPr>
            </w:pPr>
            <w:r w:rsidRPr="002C04F6">
              <w:rPr>
                <w:b/>
                <w:bCs/>
                <w:sz w:val="20"/>
                <w:szCs w:val="20"/>
                <w:lang w:val="en-US"/>
              </w:rPr>
              <w:lastRenderedPageBreak/>
              <w:t>Carneiro et al (2021)  "The Impacts of a Multifaceted Prenatal Intervention on Human Capital Accumulation in Early Life" AER Aug 2021.</w:t>
            </w:r>
          </w:p>
        </w:tc>
        <w:tc>
          <w:tcPr>
            <w:tcW w:w="1275" w:type="dxa"/>
          </w:tcPr>
          <w:p w14:paraId="0A98096D" w14:textId="57DC120D" w:rsidR="002C04F6" w:rsidRPr="00C834C7" w:rsidRDefault="002C04F6">
            <w:pPr>
              <w:rPr>
                <w:sz w:val="16"/>
                <w:szCs w:val="16"/>
                <w:lang w:val="en-US"/>
              </w:rPr>
            </w:pPr>
            <w:proofErr w:type="spellStart"/>
            <w:r w:rsidRPr="002C04F6">
              <w:rPr>
                <w:sz w:val="16"/>
                <w:szCs w:val="16"/>
                <w:lang w:val="en-US"/>
              </w:rPr>
              <w:t>Nutrición</w:t>
            </w:r>
            <w:proofErr w:type="spellEnd"/>
            <w:r w:rsidRPr="002C04F6">
              <w:rPr>
                <w:sz w:val="16"/>
                <w:szCs w:val="16"/>
                <w:lang w:val="en-US"/>
              </w:rPr>
              <w:t xml:space="preserve"> y capital </w:t>
            </w:r>
            <w:proofErr w:type="spellStart"/>
            <w:r w:rsidRPr="002C04F6">
              <w:rPr>
                <w:sz w:val="16"/>
                <w:szCs w:val="16"/>
                <w:lang w:val="en-US"/>
              </w:rPr>
              <w:t>humano</w:t>
            </w:r>
            <w:proofErr w:type="spellEnd"/>
          </w:p>
        </w:tc>
        <w:tc>
          <w:tcPr>
            <w:tcW w:w="4820" w:type="dxa"/>
          </w:tcPr>
          <w:p w14:paraId="05AE4336" w14:textId="2F9FD350" w:rsidR="002C04F6" w:rsidRPr="00C834C7" w:rsidRDefault="002C04F6">
            <w:pPr>
              <w:rPr>
                <w:sz w:val="12"/>
                <w:szCs w:val="12"/>
                <w:lang w:val="en-US"/>
              </w:rPr>
            </w:pPr>
            <w:r w:rsidRPr="002C04F6">
              <w:rPr>
                <w:sz w:val="12"/>
                <w:szCs w:val="12"/>
                <w:lang w:val="en-US"/>
              </w:rPr>
              <w:t>We evaluate an intervention targeting early life nutrition and well-being for households in extreme poverty in Northern Nigeria. The intervention leads to large and sustained improvements in children's anthropometric and health outcomes, including an 8 percent reduction in stunting 4 years, post-intervention. These impacts are partly driven by information-related channels. However, the certain and substantial flow of cash transfers is also key. They induce positive labor supply responses among women, and enables them to undertake productive investments in livestock. These provide protein rich diets for children, and generate higher household earnings streams long after the cash transfers expire.</w:t>
            </w:r>
          </w:p>
        </w:tc>
        <w:tc>
          <w:tcPr>
            <w:tcW w:w="1246" w:type="dxa"/>
          </w:tcPr>
          <w:p w14:paraId="09553355" w14:textId="373B5872" w:rsidR="002C04F6" w:rsidRPr="002C04F6" w:rsidRDefault="002C04F6">
            <w:pPr>
              <w:rPr>
                <w:lang w:val="en-US"/>
              </w:rPr>
            </w:pPr>
            <w:hyperlink r:id="rId16" w:history="1">
              <w:r w:rsidRPr="009A1A5F">
                <w:rPr>
                  <w:rStyle w:val="Hyperlink"/>
                  <w:lang w:val="en-US"/>
                </w:rPr>
                <w:t>https://www.aeaweb.org/articles?id=10.1257/aer.20191726</w:t>
              </w:r>
            </w:hyperlink>
            <w:r>
              <w:rPr>
                <w:lang w:val="en-US"/>
              </w:rPr>
              <w:t xml:space="preserve"> </w:t>
            </w:r>
          </w:p>
        </w:tc>
      </w:tr>
    </w:tbl>
    <w:p w14:paraId="4F6CE36D" w14:textId="77777777" w:rsidR="00D65C74" w:rsidRPr="00C834C7" w:rsidRDefault="00D65C74" w:rsidP="008B69E8">
      <w:pPr>
        <w:rPr>
          <w:lang w:val="en-US"/>
        </w:rPr>
      </w:pPr>
    </w:p>
    <w:sectPr w:rsidR="00D65C74" w:rsidRPr="00C83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EA4"/>
    <w:multiLevelType w:val="hybridMultilevel"/>
    <w:tmpl w:val="F3D01F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12878"/>
    <w:multiLevelType w:val="hybridMultilevel"/>
    <w:tmpl w:val="73A4E4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500C3"/>
    <w:multiLevelType w:val="hybridMultilevel"/>
    <w:tmpl w:val="C26A137C"/>
    <w:lvl w:ilvl="0" w:tplc="D944A288">
      <w:start w:val="1"/>
      <w:numFmt w:val="bullet"/>
      <w:lvlText w:val=""/>
      <w:lvlJc w:val="left"/>
      <w:pPr>
        <w:ind w:left="720" w:hanging="360"/>
      </w:pPr>
      <w:rPr>
        <w:rFonts w:ascii="Symbol" w:hAnsi="Symbol" w:hint="default"/>
        <w:lang w:val="es-E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13C"/>
    <w:rsid w:val="00040D02"/>
    <w:rsid w:val="00067A09"/>
    <w:rsid w:val="00086317"/>
    <w:rsid w:val="00086F63"/>
    <w:rsid w:val="000905AE"/>
    <w:rsid w:val="000B32D8"/>
    <w:rsid w:val="000C3337"/>
    <w:rsid w:val="00101C5F"/>
    <w:rsid w:val="001570DD"/>
    <w:rsid w:val="00185934"/>
    <w:rsid w:val="0018711F"/>
    <w:rsid w:val="00192D5B"/>
    <w:rsid w:val="001A396F"/>
    <w:rsid w:val="001B3E24"/>
    <w:rsid w:val="001B423F"/>
    <w:rsid w:val="001C2AAF"/>
    <w:rsid w:val="001C741F"/>
    <w:rsid w:val="0020013C"/>
    <w:rsid w:val="002953B6"/>
    <w:rsid w:val="002B58C1"/>
    <w:rsid w:val="002C04F6"/>
    <w:rsid w:val="002E1068"/>
    <w:rsid w:val="0032207E"/>
    <w:rsid w:val="00333AED"/>
    <w:rsid w:val="00336B98"/>
    <w:rsid w:val="00337BDC"/>
    <w:rsid w:val="00337D0F"/>
    <w:rsid w:val="003536F1"/>
    <w:rsid w:val="00377322"/>
    <w:rsid w:val="00384FE8"/>
    <w:rsid w:val="0039152B"/>
    <w:rsid w:val="003E2C3F"/>
    <w:rsid w:val="0040517B"/>
    <w:rsid w:val="00416B89"/>
    <w:rsid w:val="004518DB"/>
    <w:rsid w:val="00460ABE"/>
    <w:rsid w:val="004676A3"/>
    <w:rsid w:val="00491756"/>
    <w:rsid w:val="004C36C3"/>
    <w:rsid w:val="004C6C54"/>
    <w:rsid w:val="00541A65"/>
    <w:rsid w:val="00553BEA"/>
    <w:rsid w:val="00557423"/>
    <w:rsid w:val="00561431"/>
    <w:rsid w:val="00564B3B"/>
    <w:rsid w:val="00582BAE"/>
    <w:rsid w:val="00586C29"/>
    <w:rsid w:val="005935E8"/>
    <w:rsid w:val="005D446A"/>
    <w:rsid w:val="005F55D3"/>
    <w:rsid w:val="00600A83"/>
    <w:rsid w:val="00605C73"/>
    <w:rsid w:val="00613082"/>
    <w:rsid w:val="00636582"/>
    <w:rsid w:val="006A3EA9"/>
    <w:rsid w:val="006B3B17"/>
    <w:rsid w:val="006C212F"/>
    <w:rsid w:val="006C5884"/>
    <w:rsid w:val="006C7769"/>
    <w:rsid w:val="006D42A0"/>
    <w:rsid w:val="006D5627"/>
    <w:rsid w:val="006F3C9D"/>
    <w:rsid w:val="006F4140"/>
    <w:rsid w:val="0073496E"/>
    <w:rsid w:val="007411A4"/>
    <w:rsid w:val="00742CEE"/>
    <w:rsid w:val="007472F7"/>
    <w:rsid w:val="00766D58"/>
    <w:rsid w:val="00767477"/>
    <w:rsid w:val="00773E83"/>
    <w:rsid w:val="007B76DC"/>
    <w:rsid w:val="007D1516"/>
    <w:rsid w:val="007D56A6"/>
    <w:rsid w:val="007D76F4"/>
    <w:rsid w:val="007E0503"/>
    <w:rsid w:val="00805A1C"/>
    <w:rsid w:val="00807B8B"/>
    <w:rsid w:val="00810AEE"/>
    <w:rsid w:val="00872365"/>
    <w:rsid w:val="00894277"/>
    <w:rsid w:val="008B69E8"/>
    <w:rsid w:val="008E42A7"/>
    <w:rsid w:val="0092385D"/>
    <w:rsid w:val="00923F4F"/>
    <w:rsid w:val="00944F6F"/>
    <w:rsid w:val="009515EE"/>
    <w:rsid w:val="00955DFB"/>
    <w:rsid w:val="00973F7C"/>
    <w:rsid w:val="00975E43"/>
    <w:rsid w:val="0099075A"/>
    <w:rsid w:val="00993580"/>
    <w:rsid w:val="009B2440"/>
    <w:rsid w:val="009D05B2"/>
    <w:rsid w:val="009D5808"/>
    <w:rsid w:val="009D5CF3"/>
    <w:rsid w:val="009F120C"/>
    <w:rsid w:val="00A00C61"/>
    <w:rsid w:val="00A011EF"/>
    <w:rsid w:val="00A23892"/>
    <w:rsid w:val="00A4529A"/>
    <w:rsid w:val="00A73B25"/>
    <w:rsid w:val="00A807BE"/>
    <w:rsid w:val="00A867F2"/>
    <w:rsid w:val="00A9443F"/>
    <w:rsid w:val="00AD56E5"/>
    <w:rsid w:val="00AF2BD8"/>
    <w:rsid w:val="00B23BFF"/>
    <w:rsid w:val="00B54C2A"/>
    <w:rsid w:val="00BD3A41"/>
    <w:rsid w:val="00BE0B5D"/>
    <w:rsid w:val="00C073AA"/>
    <w:rsid w:val="00C34EFB"/>
    <w:rsid w:val="00C63EB7"/>
    <w:rsid w:val="00C6748E"/>
    <w:rsid w:val="00C834C7"/>
    <w:rsid w:val="00C95EE0"/>
    <w:rsid w:val="00CA461A"/>
    <w:rsid w:val="00CB7901"/>
    <w:rsid w:val="00CC1DC1"/>
    <w:rsid w:val="00D01C2A"/>
    <w:rsid w:val="00D168EB"/>
    <w:rsid w:val="00D32129"/>
    <w:rsid w:val="00D65C74"/>
    <w:rsid w:val="00D92D6F"/>
    <w:rsid w:val="00D94553"/>
    <w:rsid w:val="00D978AC"/>
    <w:rsid w:val="00DA3C0B"/>
    <w:rsid w:val="00DD423E"/>
    <w:rsid w:val="00DD5FE6"/>
    <w:rsid w:val="00DE1E70"/>
    <w:rsid w:val="00E0301D"/>
    <w:rsid w:val="00E437FC"/>
    <w:rsid w:val="00E465EA"/>
    <w:rsid w:val="00E53280"/>
    <w:rsid w:val="00E77211"/>
    <w:rsid w:val="00E91E2F"/>
    <w:rsid w:val="00EA6C8A"/>
    <w:rsid w:val="00EB4768"/>
    <w:rsid w:val="00EB6B14"/>
    <w:rsid w:val="00ED5740"/>
    <w:rsid w:val="00F069B1"/>
    <w:rsid w:val="00F21E55"/>
    <w:rsid w:val="00F5329F"/>
    <w:rsid w:val="00F632E4"/>
    <w:rsid w:val="00F70BF6"/>
    <w:rsid w:val="00F71C2D"/>
    <w:rsid w:val="00F84CBD"/>
    <w:rsid w:val="00FA45F0"/>
    <w:rsid w:val="00FB72BF"/>
    <w:rsid w:val="00FB74C8"/>
    <w:rsid w:val="00FD2B66"/>
    <w:rsid w:val="00FD7E42"/>
    <w:rsid w:val="00FF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81C3"/>
  <w15:docId w15:val="{3103CBA7-0A11-476B-950A-6999E3FF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3C"/>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13C"/>
    <w:pPr>
      <w:ind w:left="720"/>
      <w:contextualSpacing/>
    </w:pPr>
  </w:style>
  <w:style w:type="character" w:styleId="Hyperlink">
    <w:name w:val="Hyperlink"/>
    <w:basedOn w:val="DefaultParagraphFont"/>
    <w:uiPriority w:val="99"/>
    <w:unhideWhenUsed/>
    <w:rsid w:val="00A011EF"/>
    <w:rPr>
      <w:color w:val="0000FF" w:themeColor="hyperlink"/>
      <w:u w:val="single"/>
    </w:rPr>
  </w:style>
  <w:style w:type="paragraph" w:styleId="Title">
    <w:name w:val="Title"/>
    <w:basedOn w:val="Normal"/>
    <w:next w:val="Normal"/>
    <w:link w:val="TitleChar"/>
    <w:uiPriority w:val="10"/>
    <w:qFormat/>
    <w:rsid w:val="008B69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69E8"/>
    <w:rPr>
      <w:rFonts w:asciiTheme="majorHAnsi" w:eastAsiaTheme="majorEastAsia" w:hAnsiTheme="majorHAnsi" w:cstheme="majorBidi"/>
      <w:color w:val="17365D" w:themeColor="text2" w:themeShade="BF"/>
      <w:spacing w:val="5"/>
      <w:kern w:val="28"/>
      <w:sz w:val="52"/>
      <w:szCs w:val="52"/>
      <w:lang w:val="es-ES" w:eastAsia="es-ES"/>
    </w:rPr>
  </w:style>
  <w:style w:type="character" w:styleId="FollowedHyperlink">
    <w:name w:val="FollowedHyperlink"/>
    <w:basedOn w:val="DefaultParagraphFont"/>
    <w:uiPriority w:val="99"/>
    <w:semiHidden/>
    <w:unhideWhenUsed/>
    <w:rsid w:val="008B69E8"/>
    <w:rPr>
      <w:color w:val="800080" w:themeColor="followedHyperlink"/>
      <w:u w:val="single"/>
    </w:rPr>
  </w:style>
  <w:style w:type="table" w:styleId="TableGrid">
    <w:name w:val="Table Grid"/>
    <w:basedOn w:val="TableNormal"/>
    <w:uiPriority w:val="59"/>
    <w:unhideWhenUsed/>
    <w:rsid w:val="00C8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34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11356">
      <w:bodyDiv w:val="1"/>
      <w:marLeft w:val="0"/>
      <w:marRight w:val="0"/>
      <w:marTop w:val="0"/>
      <w:marBottom w:val="0"/>
      <w:divBdr>
        <w:top w:val="none" w:sz="0" w:space="0" w:color="auto"/>
        <w:left w:val="none" w:sz="0" w:space="0" w:color="auto"/>
        <w:bottom w:val="none" w:sz="0" w:space="0" w:color="auto"/>
        <w:right w:val="none" w:sz="0" w:space="0" w:color="auto"/>
      </w:divBdr>
    </w:div>
    <w:div w:id="1600093116">
      <w:bodyDiv w:val="1"/>
      <w:marLeft w:val="0"/>
      <w:marRight w:val="0"/>
      <w:marTop w:val="0"/>
      <w:marBottom w:val="0"/>
      <w:divBdr>
        <w:top w:val="none" w:sz="0" w:space="0" w:color="auto"/>
        <w:left w:val="none" w:sz="0" w:space="0" w:color="auto"/>
        <w:bottom w:val="none" w:sz="0" w:space="0" w:color="auto"/>
        <w:right w:val="none" w:sz="0" w:space="0" w:color="auto"/>
      </w:divBdr>
    </w:div>
    <w:div w:id="190174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9xc7somnkm9dr9o/Ashenfelter%26Krueger.pdf?dl=0" TargetMode="External"/><Relationship Id="rId13" Type="http://schemas.openxmlformats.org/officeDocument/2006/relationships/hyperlink" Target="https://economics.mit.edu/files/154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avidcard.berkeley.edu/papers/njmin-aer.pdf" TargetMode="External"/><Relationship Id="rId12" Type="http://schemas.openxmlformats.org/officeDocument/2006/relationships/hyperlink" Target="https://www.dropbox.com/s/er50v6ijditkd98/behrman2010.pdf?dl=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eaweb.org/articles?id=10.1257/aer.20191726" TargetMode="External"/><Relationship Id="rId1" Type="http://schemas.openxmlformats.org/officeDocument/2006/relationships/customXml" Target="../customXml/item1.xml"/><Relationship Id="rId6" Type="http://schemas.openxmlformats.org/officeDocument/2006/relationships/hyperlink" Target="https://www.dropbox.com/s/v5p86ruc41l8fwa/skoufias2008.pdf?dl=0" TargetMode="External"/><Relationship Id="rId11" Type="http://schemas.openxmlformats.org/officeDocument/2006/relationships/hyperlink" Target="https://revistas.unlp.edu.ar/Economica/article/download/5370/4399/" TargetMode="External"/><Relationship Id="rId5" Type="http://schemas.openxmlformats.org/officeDocument/2006/relationships/webSettings" Target="webSettings.xml"/><Relationship Id="rId15" Type="http://schemas.openxmlformats.org/officeDocument/2006/relationships/hyperlink" Target="https://www.dropbox.com/s/mrmajd9vtu6rq76/Banerjeeetal-Science-2015.rar?dl=0" TargetMode="External"/><Relationship Id="rId10" Type="http://schemas.openxmlformats.org/officeDocument/2006/relationships/hyperlink" Target="http://econ.lse.ac.uk/staff/clandais/cgi-bin/Articles/GenderGap_AEJ-Applied_Final.pdf" TargetMode="External"/><Relationship Id="rId4" Type="http://schemas.openxmlformats.org/officeDocument/2006/relationships/settings" Target="settings.xml"/><Relationship Id="rId9" Type="http://schemas.openxmlformats.org/officeDocument/2006/relationships/hyperlink" Target="https://www.dropbox.com/s/x9i7cx9hmav954r/AngKrug.pdf?dl=0" TargetMode="External"/><Relationship Id="rId14" Type="http://schemas.openxmlformats.org/officeDocument/2006/relationships/hyperlink" Target="https://academic.oup.com/qje/article-abstract/129/1/61/1899422?redirectedFrom=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C6C68-64CE-4061-B83A-36C51E4E2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2721</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Hernán Ruffo</dc:creator>
  <cp:lastModifiedBy>Hernán Martín Ruffo</cp:lastModifiedBy>
  <cp:revision>32</cp:revision>
  <dcterms:created xsi:type="dcterms:W3CDTF">2016-08-29T13:56:00Z</dcterms:created>
  <dcterms:modified xsi:type="dcterms:W3CDTF">2022-07-28T23:54:00Z</dcterms:modified>
</cp:coreProperties>
</file>