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7260" w14:textId="77777777" w:rsidR="006938EF" w:rsidRPr="006938EF" w:rsidRDefault="006938EF" w:rsidP="006938EF">
      <w:pPr>
        <w:bidi w:val="0"/>
        <w:spacing w:after="0" w:line="240" w:lineRule="auto"/>
        <w:rPr>
          <w:rFonts w:asciiTheme="majorBidi" w:eastAsia="Times New Roman" w:hAnsiTheme="majorBidi" w:cstheme="majorBidi"/>
          <w:sz w:val="24"/>
          <w:szCs w:val="24"/>
        </w:rPr>
      </w:pPr>
    </w:p>
    <w:p w14:paraId="007CAD03" w14:textId="64E02E07" w:rsidR="006938EF" w:rsidRPr="006938EF" w:rsidRDefault="006938EF" w:rsidP="006938EF">
      <w:pPr>
        <w:bidi w:val="0"/>
        <w:spacing w:line="240" w:lineRule="auto"/>
        <w:jc w:val="center"/>
        <w:rPr>
          <w:rFonts w:asciiTheme="majorBidi" w:eastAsia="Times New Roman" w:hAnsiTheme="majorBidi" w:cstheme="majorBidi"/>
          <w:sz w:val="36"/>
          <w:szCs w:val="36"/>
        </w:rPr>
      </w:pPr>
      <w:r w:rsidRPr="006938EF">
        <w:rPr>
          <w:rFonts w:asciiTheme="majorBidi" w:eastAsia="Times New Roman" w:hAnsiTheme="majorBidi" w:cstheme="majorBidi"/>
          <w:b/>
          <w:bCs/>
          <w:color w:val="000000"/>
          <w:sz w:val="28"/>
          <w:szCs w:val="32"/>
        </w:rPr>
        <w:t>Supplementary figures</w:t>
      </w:r>
    </w:p>
    <w:p w14:paraId="4A5D226D" w14:textId="77777777" w:rsidR="006938EF" w:rsidRDefault="006938EF" w:rsidP="006938EF">
      <w:pPr>
        <w:bidi w:val="0"/>
        <w:spacing w:line="240" w:lineRule="auto"/>
        <w:jc w:val="both"/>
        <w:rPr>
          <w:rFonts w:asciiTheme="majorBidi" w:eastAsia="Times New Roman" w:hAnsiTheme="majorBidi" w:cstheme="majorBidi"/>
          <w:sz w:val="24"/>
          <w:szCs w:val="24"/>
        </w:rPr>
      </w:pPr>
    </w:p>
    <w:p w14:paraId="5068853D" w14:textId="77777777" w:rsidR="002629A2" w:rsidRDefault="002629A2" w:rsidP="004B2CDC">
      <w:pPr>
        <w:bidi w:val="0"/>
        <w:rPr>
          <w:rFonts w:asciiTheme="majorBidi" w:hAnsiTheme="majorBidi" w:cstheme="majorBidi"/>
          <w:sz w:val="20"/>
          <w:szCs w:val="20"/>
        </w:rPr>
      </w:pPr>
      <w:r w:rsidRPr="006938EF">
        <w:rPr>
          <w:rFonts w:asciiTheme="majorBidi" w:eastAsia="Times New Roman" w:hAnsiTheme="majorBidi" w:cstheme="majorBidi"/>
          <w:noProof/>
          <w:sz w:val="24"/>
          <w:szCs w:val="24"/>
        </w:rPr>
        <w:drawing>
          <wp:inline distT="0" distB="0" distL="0" distR="0" wp14:anchorId="539AA6DC" wp14:editId="6F0024B4">
            <wp:extent cx="3850674" cy="3005992"/>
            <wp:effectExtent l="0" t="0" r="0" b="4445"/>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pic:nvPicPr>
                  <pic:blipFill>
                    <a:blip r:embed="rId4"/>
                    <a:stretch>
                      <a:fillRect/>
                    </a:stretch>
                  </pic:blipFill>
                  <pic:spPr>
                    <a:xfrm>
                      <a:off x="0" y="0"/>
                      <a:ext cx="3862251" cy="3015030"/>
                    </a:xfrm>
                    <a:prstGeom prst="rect">
                      <a:avLst/>
                    </a:prstGeom>
                  </pic:spPr>
                </pic:pic>
              </a:graphicData>
            </a:graphic>
          </wp:inline>
        </w:drawing>
      </w:r>
    </w:p>
    <w:p w14:paraId="3A199EB2" w14:textId="090FE522" w:rsidR="006938EF" w:rsidRDefault="002250D5" w:rsidP="006938EF">
      <w:pPr>
        <w:bidi w:val="0"/>
        <w:spacing w:line="240" w:lineRule="auto"/>
        <w:jc w:val="both"/>
        <w:rPr>
          <w:rFonts w:asciiTheme="majorBidi" w:eastAsia="Times New Roman" w:hAnsiTheme="majorBidi" w:cstheme="majorBidi"/>
          <w:sz w:val="24"/>
          <w:szCs w:val="24"/>
        </w:rPr>
      </w:pPr>
      <w:r>
        <w:rPr>
          <w:rFonts w:asciiTheme="majorBidi" w:hAnsiTheme="majorBidi" w:cstheme="majorBidi"/>
          <w:b/>
          <w:bCs/>
          <w:sz w:val="20"/>
          <w:szCs w:val="20"/>
        </w:rPr>
        <w:t xml:space="preserve">Figure </w:t>
      </w:r>
      <w:r w:rsidRPr="007566D3">
        <w:rPr>
          <w:rFonts w:asciiTheme="majorBidi" w:hAnsiTheme="majorBidi" w:cstheme="majorBidi"/>
          <w:b/>
          <w:bCs/>
          <w:sz w:val="20"/>
          <w:szCs w:val="20"/>
        </w:rPr>
        <w:t>S1</w:t>
      </w:r>
      <w:r>
        <w:rPr>
          <w:rFonts w:asciiTheme="majorBidi" w:hAnsiTheme="majorBidi" w:cstheme="majorBidi"/>
          <w:b/>
          <w:bCs/>
          <w:sz w:val="20"/>
          <w:szCs w:val="20"/>
        </w:rPr>
        <w:t>A.</w:t>
      </w:r>
      <w:r w:rsidRPr="007566D3">
        <w:rPr>
          <w:rFonts w:asciiTheme="majorBidi" w:hAnsiTheme="majorBidi" w:cstheme="majorBidi"/>
          <w:b/>
          <w:bCs/>
          <w:sz w:val="20"/>
          <w:szCs w:val="20"/>
        </w:rPr>
        <w:t xml:space="preserve"> Cultural accumulation timeline in four scenarios (highlighted in blue). </w:t>
      </w:r>
      <w:r w:rsidR="004B2CDC">
        <w:rPr>
          <w:rFonts w:asciiTheme="majorBidi" w:hAnsiTheme="majorBidi" w:cstheme="majorBidi"/>
          <w:sz w:val="20"/>
          <w:szCs w:val="20"/>
        </w:rPr>
        <w:t xml:space="preserve">The following </w:t>
      </w:r>
      <w:r w:rsidR="007803E4">
        <w:rPr>
          <w:rFonts w:asciiTheme="majorBidi" w:hAnsiTheme="majorBidi" w:cstheme="majorBidi"/>
          <w:sz w:val="20"/>
          <w:szCs w:val="20"/>
        </w:rPr>
        <w:t>graphs</w:t>
      </w:r>
      <w:r>
        <w:rPr>
          <w:rFonts w:asciiTheme="majorBidi" w:hAnsiTheme="majorBidi" w:cstheme="majorBidi"/>
          <w:sz w:val="20"/>
          <w:szCs w:val="20"/>
        </w:rPr>
        <w:t xml:space="preserve"> (Figures S1B-S1E)</w:t>
      </w:r>
      <w:r w:rsidR="007803E4">
        <w:rPr>
          <w:rFonts w:asciiTheme="majorBidi" w:hAnsiTheme="majorBidi" w:cstheme="majorBidi"/>
          <w:sz w:val="20"/>
          <w:szCs w:val="20"/>
        </w:rPr>
        <w:t xml:space="preserve"> demonstrate how cultural repertoire size changes through time</w:t>
      </w:r>
      <w:r>
        <w:rPr>
          <w:rFonts w:asciiTheme="majorBidi" w:hAnsiTheme="majorBidi" w:cstheme="majorBidi"/>
          <w:sz w:val="20"/>
          <w:szCs w:val="20"/>
        </w:rPr>
        <w:t xml:space="preserve"> in these four scenarios</w:t>
      </w:r>
      <w:r w:rsidR="007803E4">
        <w:rPr>
          <w:rFonts w:asciiTheme="majorBidi" w:hAnsiTheme="majorBidi" w:cstheme="majorBidi"/>
          <w:sz w:val="20"/>
          <w:szCs w:val="20"/>
        </w:rPr>
        <w:t xml:space="preserve">. </w:t>
      </w:r>
      <w:r w:rsidR="008E0515">
        <w:rPr>
          <w:rFonts w:asciiTheme="majorBidi" w:hAnsiTheme="majorBidi" w:cstheme="majorBidi"/>
          <w:sz w:val="20"/>
          <w:szCs w:val="20"/>
        </w:rPr>
        <w:t xml:space="preserve">In our model, repertoire size starts from 0, </w:t>
      </w:r>
      <w:r w:rsidR="00A94A13">
        <w:rPr>
          <w:rFonts w:asciiTheme="majorBidi" w:hAnsiTheme="majorBidi" w:cstheme="majorBidi"/>
          <w:sz w:val="20"/>
          <w:szCs w:val="20"/>
        </w:rPr>
        <w:t xml:space="preserve">and grows gradually until it plateaus. </w:t>
      </w:r>
      <w:r w:rsidR="00FE1143">
        <w:rPr>
          <w:rFonts w:asciiTheme="majorBidi" w:hAnsiTheme="majorBidi" w:cstheme="majorBidi"/>
          <w:sz w:val="20"/>
          <w:szCs w:val="20"/>
        </w:rPr>
        <w:t xml:space="preserve">The speed of this process is highly dependent on the parameter value choices (as demonstrated here for different population sizes and migration rates, but also on the rates of cultural invention and </w:t>
      </w:r>
      <w:r w:rsidR="00CD3D6C">
        <w:rPr>
          <w:rFonts w:asciiTheme="majorBidi" w:hAnsiTheme="majorBidi" w:cstheme="majorBidi"/>
          <w:sz w:val="20"/>
          <w:szCs w:val="20"/>
        </w:rPr>
        <w:t>loss)</w:t>
      </w:r>
      <w:r w:rsidR="00B14E58">
        <w:rPr>
          <w:rFonts w:asciiTheme="majorBidi" w:hAnsiTheme="majorBidi" w:cstheme="majorBidi"/>
          <w:sz w:val="20"/>
          <w:szCs w:val="20"/>
        </w:rPr>
        <w:t xml:space="preserve">. In the </w:t>
      </w:r>
      <w:r w:rsidR="002B621F">
        <w:rPr>
          <w:rFonts w:asciiTheme="majorBidi" w:hAnsiTheme="majorBidi" w:cstheme="majorBidi"/>
          <w:sz w:val="20"/>
          <w:szCs w:val="20"/>
        </w:rPr>
        <w:t xml:space="preserve">heatmap shown </w:t>
      </w:r>
      <w:r>
        <w:rPr>
          <w:rFonts w:asciiTheme="majorBidi" w:hAnsiTheme="majorBidi" w:cstheme="majorBidi"/>
          <w:sz w:val="20"/>
          <w:szCs w:val="20"/>
        </w:rPr>
        <w:t>above</w:t>
      </w:r>
      <w:r w:rsidR="002B621F">
        <w:rPr>
          <w:rFonts w:asciiTheme="majorBidi" w:hAnsiTheme="majorBidi" w:cstheme="majorBidi"/>
          <w:sz w:val="20"/>
          <w:szCs w:val="20"/>
        </w:rPr>
        <w:t xml:space="preserve">, cultural repertoire sizes at equilibrium were </w:t>
      </w:r>
      <w:r w:rsidR="00BA3EDC">
        <w:rPr>
          <w:rFonts w:asciiTheme="majorBidi" w:hAnsiTheme="majorBidi" w:cstheme="majorBidi"/>
          <w:sz w:val="20"/>
          <w:szCs w:val="20"/>
        </w:rPr>
        <w:t>averaged between time steps 100,000 (at which cu</w:t>
      </w:r>
      <w:r w:rsidR="00690B83">
        <w:rPr>
          <w:rFonts w:asciiTheme="majorBidi" w:hAnsiTheme="majorBidi" w:cstheme="majorBidi"/>
          <w:sz w:val="20"/>
          <w:szCs w:val="20"/>
        </w:rPr>
        <w:t>ltural accumulation</w:t>
      </w:r>
      <w:r>
        <w:rPr>
          <w:rFonts w:asciiTheme="majorBidi" w:hAnsiTheme="majorBidi" w:cstheme="majorBidi"/>
          <w:sz w:val="20"/>
          <w:szCs w:val="20"/>
        </w:rPr>
        <w:t xml:space="preserve"> had</w:t>
      </w:r>
      <w:r w:rsidR="00690B83">
        <w:rPr>
          <w:rFonts w:asciiTheme="majorBidi" w:hAnsiTheme="majorBidi" w:cstheme="majorBidi"/>
          <w:sz w:val="20"/>
          <w:szCs w:val="20"/>
        </w:rPr>
        <w:t xml:space="preserve"> already </w:t>
      </w:r>
      <w:r w:rsidR="00002567">
        <w:rPr>
          <w:rFonts w:asciiTheme="majorBidi" w:hAnsiTheme="majorBidi" w:cstheme="majorBidi"/>
          <w:sz w:val="20"/>
          <w:szCs w:val="20"/>
        </w:rPr>
        <w:t>plateau</w:t>
      </w:r>
      <w:r>
        <w:rPr>
          <w:rFonts w:asciiTheme="majorBidi" w:hAnsiTheme="majorBidi" w:cstheme="majorBidi"/>
          <w:sz w:val="20"/>
          <w:szCs w:val="20"/>
        </w:rPr>
        <w:t>ed</w:t>
      </w:r>
      <w:r w:rsidR="00690B83">
        <w:rPr>
          <w:rFonts w:asciiTheme="majorBidi" w:hAnsiTheme="majorBidi" w:cstheme="majorBidi"/>
          <w:sz w:val="20"/>
          <w:szCs w:val="20"/>
        </w:rPr>
        <w:t>)</w:t>
      </w:r>
      <w:r w:rsidR="00BA3EDC">
        <w:rPr>
          <w:rFonts w:asciiTheme="majorBidi" w:hAnsiTheme="majorBidi" w:cstheme="majorBidi"/>
          <w:sz w:val="20"/>
          <w:szCs w:val="20"/>
        </w:rPr>
        <w:t xml:space="preserve"> and 200</w:t>
      </w:r>
      <w:r w:rsidR="00F50125">
        <w:rPr>
          <w:rFonts w:asciiTheme="majorBidi" w:hAnsiTheme="majorBidi" w:cstheme="majorBidi"/>
          <w:sz w:val="20"/>
          <w:szCs w:val="20"/>
        </w:rPr>
        <w:t>,</w:t>
      </w:r>
      <w:r w:rsidR="00BA3EDC">
        <w:rPr>
          <w:rFonts w:asciiTheme="majorBidi" w:hAnsiTheme="majorBidi" w:cstheme="majorBidi"/>
          <w:sz w:val="20"/>
          <w:szCs w:val="20"/>
        </w:rPr>
        <w:t>000.</w:t>
      </w:r>
      <w:r w:rsidR="00FE1143">
        <w:rPr>
          <w:rFonts w:asciiTheme="majorBidi" w:hAnsiTheme="majorBidi" w:cstheme="majorBidi"/>
          <w:sz w:val="20"/>
          <w:szCs w:val="20"/>
        </w:rPr>
        <w:t xml:space="preserve"> </w:t>
      </w:r>
    </w:p>
    <w:p w14:paraId="3C978456" w14:textId="2DACE9F0" w:rsidR="0076405C" w:rsidRDefault="0076405C" w:rsidP="006938EF">
      <w:pPr>
        <w:bidi w:val="0"/>
        <w:rPr>
          <w:rFonts w:asciiTheme="majorBidi" w:hAnsiTheme="majorBidi" w:cstheme="majorBidi"/>
          <w:b/>
          <w:bCs/>
          <w:sz w:val="20"/>
          <w:szCs w:val="20"/>
        </w:rPr>
      </w:pPr>
      <w:r>
        <w:rPr>
          <w:rFonts w:asciiTheme="majorBidi" w:hAnsiTheme="majorBidi" w:cstheme="majorBidi"/>
          <w:b/>
          <w:bCs/>
          <w:noProof/>
          <w:sz w:val="20"/>
          <w:szCs w:val="20"/>
        </w:rPr>
        <w:lastRenderedPageBreak/>
        <w:drawing>
          <wp:inline distT="0" distB="0" distL="0" distR="0" wp14:anchorId="676EE0F0" wp14:editId="65D5C6F1">
            <wp:extent cx="5274310" cy="3956050"/>
            <wp:effectExtent l="0" t="0" r="2540" b="635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7DE62FE" w14:textId="26C63F2B" w:rsidR="00BA7F43" w:rsidRPr="007857D8" w:rsidRDefault="002250D5" w:rsidP="0076405C">
      <w:pPr>
        <w:bidi w:val="0"/>
        <w:rPr>
          <w:rFonts w:asciiTheme="majorBidi" w:hAnsiTheme="majorBidi" w:cstheme="majorBidi"/>
          <w:sz w:val="20"/>
          <w:szCs w:val="20"/>
        </w:rPr>
      </w:pPr>
      <w:r>
        <w:rPr>
          <w:rFonts w:asciiTheme="majorBidi" w:hAnsiTheme="majorBidi" w:cstheme="majorBidi"/>
          <w:b/>
          <w:bCs/>
          <w:sz w:val="20"/>
          <w:szCs w:val="20"/>
        </w:rPr>
        <w:t xml:space="preserve">Figure </w:t>
      </w:r>
      <w:r w:rsidR="006938EF" w:rsidRPr="007857D8">
        <w:rPr>
          <w:rFonts w:asciiTheme="majorBidi" w:hAnsiTheme="majorBidi" w:cstheme="majorBidi"/>
          <w:b/>
          <w:bCs/>
          <w:sz w:val="20"/>
          <w:szCs w:val="20"/>
        </w:rPr>
        <w:t>S1</w:t>
      </w:r>
      <w:r>
        <w:rPr>
          <w:rFonts w:asciiTheme="majorBidi" w:hAnsiTheme="majorBidi" w:cstheme="majorBidi"/>
          <w:b/>
          <w:bCs/>
          <w:sz w:val="20"/>
          <w:szCs w:val="20"/>
        </w:rPr>
        <w:t>B.</w:t>
      </w:r>
      <w:r w:rsidR="006938EF" w:rsidRPr="007857D8">
        <w:rPr>
          <w:rFonts w:asciiTheme="majorBidi" w:hAnsiTheme="majorBidi" w:cstheme="majorBidi"/>
          <w:sz w:val="20"/>
          <w:szCs w:val="20"/>
        </w:rPr>
        <w:t xml:space="preserve"> Cultural accumulation for migration rate of 10</w:t>
      </w:r>
      <w:r w:rsidR="006938EF" w:rsidRPr="007857D8">
        <w:rPr>
          <w:rFonts w:ascii="Calibri" w:hAnsi="Calibri" w:cs="Calibri"/>
          <w:sz w:val="20"/>
          <w:szCs w:val="20"/>
        </w:rPr>
        <w:t>⁻</w:t>
      </w:r>
      <w:r w:rsidR="006938EF" w:rsidRPr="007857D8">
        <w:rPr>
          <w:rFonts w:asciiTheme="majorBidi" w:hAnsiTheme="majorBidi" w:cstheme="majorBidi"/>
          <w:sz w:val="20"/>
          <w:szCs w:val="20"/>
        </w:rPr>
        <w:t>⁶ and a neighbor population size of 200</w:t>
      </w:r>
      <w:r>
        <w:rPr>
          <w:rFonts w:asciiTheme="majorBidi" w:hAnsiTheme="majorBidi" w:cstheme="majorBidi"/>
          <w:sz w:val="20"/>
          <w:szCs w:val="20"/>
        </w:rPr>
        <w:t>.</w:t>
      </w:r>
    </w:p>
    <w:p w14:paraId="7CD464FB" w14:textId="71529A14" w:rsidR="006938EF" w:rsidRPr="007857D8" w:rsidRDefault="0076405C" w:rsidP="006938EF">
      <w:pPr>
        <w:bidi w:val="0"/>
        <w:rPr>
          <w:rFonts w:asciiTheme="majorBidi" w:hAnsiTheme="majorBidi" w:cstheme="majorBidi"/>
          <w:sz w:val="20"/>
          <w:szCs w:val="20"/>
        </w:rPr>
      </w:pPr>
      <w:r>
        <w:rPr>
          <w:rFonts w:asciiTheme="majorBidi" w:hAnsiTheme="majorBidi" w:cstheme="majorBidi"/>
          <w:b/>
          <w:bCs/>
          <w:noProof/>
          <w:sz w:val="20"/>
          <w:szCs w:val="20"/>
        </w:rPr>
        <w:drawing>
          <wp:inline distT="0" distB="0" distL="0" distR="0" wp14:anchorId="08EDE7A8" wp14:editId="6D6F8453">
            <wp:extent cx="5274310" cy="3956050"/>
            <wp:effectExtent l="0" t="0" r="2540" b="635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9B9C202" w14:textId="3CC00042" w:rsidR="006938EF" w:rsidRPr="007857D8" w:rsidRDefault="002250D5" w:rsidP="006938EF">
      <w:pPr>
        <w:bidi w:val="0"/>
        <w:rPr>
          <w:rFonts w:asciiTheme="majorBidi" w:hAnsiTheme="majorBidi" w:cstheme="majorBidi"/>
          <w:sz w:val="20"/>
          <w:szCs w:val="20"/>
        </w:rPr>
      </w:pPr>
      <w:r>
        <w:rPr>
          <w:rFonts w:asciiTheme="majorBidi" w:hAnsiTheme="majorBidi" w:cstheme="majorBidi"/>
          <w:b/>
          <w:bCs/>
          <w:sz w:val="20"/>
          <w:szCs w:val="20"/>
        </w:rPr>
        <w:t xml:space="preserve">Figure </w:t>
      </w:r>
      <w:r w:rsidR="006938EF" w:rsidRPr="007857D8">
        <w:rPr>
          <w:rFonts w:asciiTheme="majorBidi" w:hAnsiTheme="majorBidi" w:cstheme="majorBidi"/>
          <w:b/>
          <w:bCs/>
          <w:sz w:val="20"/>
          <w:szCs w:val="20"/>
        </w:rPr>
        <w:t>S1</w:t>
      </w:r>
      <w:r>
        <w:rPr>
          <w:rFonts w:asciiTheme="majorBidi" w:hAnsiTheme="majorBidi" w:cstheme="majorBidi"/>
          <w:b/>
          <w:bCs/>
          <w:sz w:val="20"/>
          <w:szCs w:val="20"/>
        </w:rPr>
        <w:t>C.</w:t>
      </w:r>
      <w:r w:rsidR="006938EF" w:rsidRPr="007857D8">
        <w:rPr>
          <w:rFonts w:asciiTheme="majorBidi" w:hAnsiTheme="majorBidi" w:cstheme="majorBidi"/>
          <w:sz w:val="20"/>
          <w:szCs w:val="20"/>
        </w:rPr>
        <w:t xml:space="preserve"> Cultural accumulation for migration rate of 10</w:t>
      </w:r>
      <w:r w:rsidR="006938EF" w:rsidRPr="007857D8">
        <w:rPr>
          <w:rFonts w:ascii="Calibri" w:hAnsi="Calibri" w:cs="Calibri"/>
          <w:sz w:val="20"/>
          <w:szCs w:val="20"/>
        </w:rPr>
        <w:t>⁻</w:t>
      </w:r>
      <w:r w:rsidR="006938EF" w:rsidRPr="007857D8">
        <w:rPr>
          <w:rFonts w:asciiTheme="majorBidi" w:hAnsiTheme="majorBidi" w:cstheme="majorBidi"/>
          <w:sz w:val="20"/>
          <w:szCs w:val="20"/>
        </w:rPr>
        <w:t>⁶ and a neighbor population size of 2</w:t>
      </w:r>
      <w:r w:rsidR="007857D8" w:rsidRPr="007857D8">
        <w:rPr>
          <w:rFonts w:asciiTheme="majorBidi" w:hAnsiTheme="majorBidi" w:cstheme="majorBidi"/>
          <w:sz w:val="20"/>
          <w:szCs w:val="20"/>
        </w:rPr>
        <w:t>0</w:t>
      </w:r>
      <w:r w:rsidR="006938EF" w:rsidRPr="007857D8">
        <w:rPr>
          <w:rFonts w:asciiTheme="majorBidi" w:hAnsiTheme="majorBidi" w:cstheme="majorBidi"/>
          <w:sz w:val="20"/>
          <w:szCs w:val="20"/>
        </w:rPr>
        <w:t>00</w:t>
      </w:r>
      <w:r>
        <w:rPr>
          <w:rFonts w:asciiTheme="majorBidi" w:hAnsiTheme="majorBidi" w:cstheme="majorBidi"/>
          <w:sz w:val="20"/>
          <w:szCs w:val="20"/>
        </w:rPr>
        <w:t>.</w:t>
      </w:r>
    </w:p>
    <w:p w14:paraId="7761D480" w14:textId="2197651B" w:rsidR="006938EF" w:rsidRPr="007857D8" w:rsidRDefault="0076405C" w:rsidP="006938EF">
      <w:pPr>
        <w:bidi w:val="0"/>
        <w:rPr>
          <w:rFonts w:asciiTheme="majorBidi" w:hAnsiTheme="majorBidi" w:cstheme="majorBidi"/>
          <w:sz w:val="20"/>
          <w:szCs w:val="20"/>
        </w:rPr>
      </w:pPr>
      <w:r>
        <w:rPr>
          <w:rFonts w:asciiTheme="majorBidi" w:hAnsiTheme="majorBidi" w:cstheme="majorBidi"/>
          <w:b/>
          <w:bCs/>
          <w:noProof/>
          <w:sz w:val="20"/>
          <w:szCs w:val="20"/>
        </w:rPr>
        <w:lastRenderedPageBreak/>
        <w:drawing>
          <wp:inline distT="0" distB="0" distL="0" distR="0" wp14:anchorId="2E6A5851" wp14:editId="0A684FF5">
            <wp:extent cx="5274310" cy="3956050"/>
            <wp:effectExtent l="0" t="0" r="2540" b="635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sidR="002250D5">
        <w:rPr>
          <w:rFonts w:asciiTheme="majorBidi" w:hAnsiTheme="majorBidi" w:cstheme="majorBidi"/>
          <w:b/>
          <w:bCs/>
          <w:sz w:val="20"/>
          <w:szCs w:val="20"/>
        </w:rPr>
        <w:t xml:space="preserve">Figure </w:t>
      </w:r>
      <w:r w:rsidR="006938EF" w:rsidRPr="007857D8">
        <w:rPr>
          <w:rFonts w:asciiTheme="majorBidi" w:hAnsiTheme="majorBidi" w:cstheme="majorBidi"/>
          <w:b/>
          <w:bCs/>
          <w:sz w:val="20"/>
          <w:szCs w:val="20"/>
        </w:rPr>
        <w:t>S1</w:t>
      </w:r>
      <w:r w:rsidR="002250D5">
        <w:rPr>
          <w:rFonts w:asciiTheme="majorBidi" w:hAnsiTheme="majorBidi" w:cstheme="majorBidi"/>
          <w:b/>
          <w:bCs/>
          <w:sz w:val="20"/>
          <w:szCs w:val="20"/>
        </w:rPr>
        <w:t>D.</w:t>
      </w:r>
      <w:r w:rsidR="006938EF" w:rsidRPr="007857D8">
        <w:rPr>
          <w:rFonts w:asciiTheme="majorBidi" w:hAnsiTheme="majorBidi" w:cstheme="majorBidi"/>
          <w:sz w:val="20"/>
          <w:szCs w:val="20"/>
        </w:rPr>
        <w:t xml:space="preserve"> Cultural accumulation for migration rate of 10</w:t>
      </w:r>
      <w:r w:rsidR="006938EF" w:rsidRPr="007857D8">
        <w:rPr>
          <w:rFonts w:ascii="Calibri" w:hAnsi="Calibri" w:cs="Calibri"/>
          <w:sz w:val="20"/>
          <w:szCs w:val="20"/>
        </w:rPr>
        <w:t>⁻</w:t>
      </w:r>
      <w:r w:rsidR="007857D8" w:rsidRPr="007857D8">
        <w:rPr>
          <w:rFonts w:asciiTheme="majorBidi" w:hAnsiTheme="majorBidi" w:cstheme="majorBidi"/>
          <w:sz w:val="20"/>
          <w:szCs w:val="20"/>
        </w:rPr>
        <w:t>⁵</w:t>
      </w:r>
      <w:r w:rsidR="006938EF" w:rsidRPr="007857D8">
        <w:rPr>
          <w:rFonts w:asciiTheme="majorBidi" w:hAnsiTheme="majorBidi" w:cstheme="majorBidi"/>
          <w:sz w:val="20"/>
          <w:szCs w:val="20"/>
        </w:rPr>
        <w:t xml:space="preserve"> and a neighbor population size of 200</w:t>
      </w:r>
      <w:r w:rsidR="002250D5">
        <w:rPr>
          <w:rFonts w:asciiTheme="majorBidi" w:hAnsiTheme="majorBidi" w:cstheme="majorBidi"/>
          <w:sz w:val="20"/>
          <w:szCs w:val="20"/>
        </w:rPr>
        <w:t>.</w:t>
      </w:r>
    </w:p>
    <w:p w14:paraId="24CC48BC" w14:textId="770ACE18" w:rsidR="00EB5CE5" w:rsidRPr="007857D8" w:rsidRDefault="00EB5CE5" w:rsidP="00EB5CE5">
      <w:pPr>
        <w:bidi w:val="0"/>
        <w:rPr>
          <w:rFonts w:asciiTheme="majorBidi" w:hAnsiTheme="majorBidi" w:cstheme="majorBidi"/>
          <w:sz w:val="20"/>
          <w:szCs w:val="20"/>
        </w:rPr>
      </w:pPr>
      <w:r>
        <w:rPr>
          <w:noProof/>
        </w:rPr>
        <w:drawing>
          <wp:inline distT="0" distB="0" distL="0" distR="0" wp14:anchorId="208398E1" wp14:editId="2B96A525">
            <wp:extent cx="5274310" cy="3952680"/>
            <wp:effectExtent l="0" t="0" r="254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2680"/>
                    </a:xfrm>
                    <a:prstGeom prst="rect">
                      <a:avLst/>
                    </a:prstGeom>
                    <a:noFill/>
                    <a:ln>
                      <a:noFill/>
                    </a:ln>
                  </pic:spPr>
                </pic:pic>
              </a:graphicData>
            </a:graphic>
          </wp:inline>
        </w:drawing>
      </w:r>
      <w:r w:rsidR="002250D5">
        <w:rPr>
          <w:rFonts w:asciiTheme="majorBidi" w:hAnsiTheme="majorBidi" w:cstheme="majorBidi"/>
          <w:b/>
          <w:bCs/>
          <w:sz w:val="20"/>
          <w:szCs w:val="20"/>
        </w:rPr>
        <w:t xml:space="preserve">Figure </w:t>
      </w:r>
      <w:r w:rsidR="006938EF" w:rsidRPr="007857D8">
        <w:rPr>
          <w:rFonts w:asciiTheme="majorBidi" w:hAnsiTheme="majorBidi" w:cstheme="majorBidi"/>
          <w:b/>
          <w:bCs/>
          <w:sz w:val="20"/>
          <w:szCs w:val="20"/>
        </w:rPr>
        <w:t>S1</w:t>
      </w:r>
      <w:r w:rsidR="002250D5">
        <w:rPr>
          <w:rFonts w:asciiTheme="majorBidi" w:hAnsiTheme="majorBidi" w:cstheme="majorBidi"/>
          <w:b/>
          <w:bCs/>
          <w:sz w:val="20"/>
          <w:szCs w:val="20"/>
        </w:rPr>
        <w:t>E.</w:t>
      </w:r>
      <w:r w:rsidR="006938EF" w:rsidRPr="007857D8">
        <w:rPr>
          <w:rFonts w:asciiTheme="majorBidi" w:hAnsiTheme="majorBidi" w:cstheme="majorBidi"/>
          <w:sz w:val="20"/>
          <w:szCs w:val="20"/>
        </w:rPr>
        <w:t xml:space="preserve"> Cultural accumulation for migration rate of </w:t>
      </w:r>
      <w:r w:rsidR="007857D8" w:rsidRPr="007857D8">
        <w:rPr>
          <w:rFonts w:asciiTheme="majorBidi" w:hAnsiTheme="majorBidi" w:cstheme="majorBidi"/>
          <w:sz w:val="20"/>
          <w:szCs w:val="20"/>
        </w:rPr>
        <w:t>10</w:t>
      </w:r>
      <w:r w:rsidR="007857D8" w:rsidRPr="007857D8">
        <w:rPr>
          <w:rFonts w:ascii="Calibri" w:hAnsi="Calibri" w:cs="Calibri"/>
          <w:sz w:val="20"/>
          <w:szCs w:val="20"/>
        </w:rPr>
        <w:t>⁻</w:t>
      </w:r>
      <w:r w:rsidR="007857D8" w:rsidRPr="007857D8">
        <w:rPr>
          <w:rFonts w:asciiTheme="majorBidi" w:hAnsiTheme="majorBidi" w:cstheme="majorBidi"/>
          <w:sz w:val="20"/>
          <w:szCs w:val="20"/>
        </w:rPr>
        <w:t xml:space="preserve">⁵ </w:t>
      </w:r>
      <w:r w:rsidR="006938EF" w:rsidRPr="007857D8">
        <w:rPr>
          <w:rFonts w:asciiTheme="majorBidi" w:hAnsiTheme="majorBidi" w:cstheme="majorBidi"/>
          <w:sz w:val="20"/>
          <w:szCs w:val="20"/>
        </w:rPr>
        <w:t>and a neighbor population size of 200</w:t>
      </w:r>
      <w:r w:rsidR="007857D8" w:rsidRPr="007857D8">
        <w:rPr>
          <w:rFonts w:asciiTheme="majorBidi" w:hAnsiTheme="majorBidi" w:cstheme="majorBidi"/>
          <w:sz w:val="20"/>
          <w:szCs w:val="20"/>
        </w:rPr>
        <w:t>0</w:t>
      </w:r>
    </w:p>
    <w:p w14:paraId="6DD6F30B" w14:textId="77777777" w:rsidR="007857D8" w:rsidRDefault="007857D8" w:rsidP="007857D8">
      <w:pPr>
        <w:bidi w:val="0"/>
        <w:rPr>
          <w:rFonts w:asciiTheme="majorBidi" w:hAnsiTheme="majorBidi" w:cstheme="majorBidi"/>
        </w:rPr>
      </w:pPr>
    </w:p>
    <w:p w14:paraId="61970592" w14:textId="55F64893" w:rsidR="007857D8" w:rsidRDefault="00D139CC" w:rsidP="007857D8">
      <w:pPr>
        <w:bidi w:val="0"/>
        <w:rPr>
          <w:rFonts w:asciiTheme="majorBidi" w:hAnsiTheme="majorBidi" w:cstheme="majorBidi"/>
        </w:rPr>
      </w:pPr>
      <w:r>
        <w:rPr>
          <w:noProof/>
        </w:rPr>
        <w:lastRenderedPageBreak/>
        <w:drawing>
          <wp:inline distT="0" distB="0" distL="0" distR="0" wp14:anchorId="05456F42" wp14:editId="29932BD6">
            <wp:extent cx="5274310" cy="39547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4780"/>
                    </a:xfrm>
                    <a:prstGeom prst="rect">
                      <a:avLst/>
                    </a:prstGeom>
                    <a:noFill/>
                    <a:ln>
                      <a:noFill/>
                    </a:ln>
                  </pic:spPr>
                </pic:pic>
              </a:graphicData>
            </a:graphic>
          </wp:inline>
        </w:drawing>
      </w:r>
    </w:p>
    <w:p w14:paraId="71600042" w14:textId="41D5EE71" w:rsidR="007857D8" w:rsidRDefault="002250D5" w:rsidP="007857D8">
      <w:pPr>
        <w:bidi w:val="0"/>
        <w:rPr>
          <w:rFonts w:asciiTheme="majorBidi" w:hAnsiTheme="majorBidi" w:cstheme="majorBidi"/>
          <w:sz w:val="20"/>
          <w:szCs w:val="20"/>
        </w:rPr>
      </w:pPr>
      <w:r w:rsidRPr="007566D3">
        <w:rPr>
          <w:rFonts w:asciiTheme="majorBidi" w:hAnsiTheme="majorBidi" w:cstheme="majorBidi"/>
          <w:b/>
          <w:bCs/>
          <w:sz w:val="20"/>
          <w:szCs w:val="20"/>
        </w:rPr>
        <w:t>Figure S2</w:t>
      </w:r>
      <w:r w:rsidR="000C7449">
        <w:rPr>
          <w:rFonts w:asciiTheme="majorBidi" w:hAnsiTheme="majorBidi" w:cstheme="majorBidi"/>
          <w:b/>
          <w:bCs/>
          <w:sz w:val="20"/>
          <w:szCs w:val="20"/>
        </w:rPr>
        <w:t>.</w:t>
      </w:r>
      <w:r w:rsidRPr="007566D3">
        <w:rPr>
          <w:rFonts w:asciiTheme="majorBidi" w:hAnsiTheme="majorBidi" w:cstheme="majorBidi"/>
          <w:b/>
          <w:bCs/>
          <w:sz w:val="20"/>
          <w:szCs w:val="20"/>
        </w:rPr>
        <w:t xml:space="preserve"> When migration rates are low enough, </w:t>
      </w:r>
      <w:r>
        <w:rPr>
          <w:rFonts w:asciiTheme="majorBidi" w:hAnsiTheme="majorBidi" w:cstheme="majorBidi"/>
          <w:b/>
          <w:bCs/>
          <w:sz w:val="20"/>
          <w:szCs w:val="20"/>
        </w:rPr>
        <w:t xml:space="preserve">cultural </w:t>
      </w:r>
      <w:r w:rsidRPr="007566D3">
        <w:rPr>
          <w:rFonts w:asciiTheme="majorBidi" w:hAnsiTheme="majorBidi" w:cstheme="majorBidi"/>
          <w:b/>
          <w:bCs/>
          <w:sz w:val="20"/>
          <w:szCs w:val="20"/>
        </w:rPr>
        <w:t>repertoire size has enough time to reduce to equilibrium</w:t>
      </w:r>
      <w:r>
        <w:rPr>
          <w:rFonts w:asciiTheme="majorBidi" w:hAnsiTheme="majorBidi" w:cstheme="majorBidi"/>
          <w:b/>
          <w:bCs/>
          <w:sz w:val="20"/>
          <w:szCs w:val="20"/>
        </w:rPr>
        <w:t xml:space="preserve"> between migration events</w:t>
      </w:r>
      <w:r w:rsidRPr="007566D3">
        <w:rPr>
          <w:rFonts w:asciiTheme="majorBidi" w:hAnsiTheme="majorBidi" w:cstheme="majorBidi"/>
          <w:b/>
          <w:bCs/>
          <w:sz w:val="20"/>
          <w:szCs w:val="20"/>
        </w:rPr>
        <w:t xml:space="preserve">. </w:t>
      </w:r>
      <w:r w:rsidR="00B6789C">
        <w:rPr>
          <w:rFonts w:asciiTheme="majorBidi" w:hAnsiTheme="majorBidi" w:cstheme="majorBidi"/>
          <w:sz w:val="20"/>
          <w:szCs w:val="20"/>
        </w:rPr>
        <w:t>This figure shows</w:t>
      </w:r>
      <w:r w:rsidR="00E51612">
        <w:rPr>
          <w:rFonts w:asciiTheme="majorBidi" w:hAnsiTheme="majorBidi" w:cstheme="majorBidi"/>
          <w:sz w:val="20"/>
          <w:szCs w:val="20"/>
        </w:rPr>
        <w:t>, in blue,</w:t>
      </w:r>
      <w:r w:rsidR="00B6789C">
        <w:rPr>
          <w:rFonts w:asciiTheme="majorBidi" w:hAnsiTheme="majorBidi" w:cstheme="majorBidi"/>
          <w:sz w:val="20"/>
          <w:szCs w:val="20"/>
        </w:rPr>
        <w:t xml:space="preserve"> the cultural repertoire size</w:t>
      </w:r>
      <w:r w:rsidR="00B07992">
        <w:rPr>
          <w:rFonts w:asciiTheme="majorBidi" w:hAnsiTheme="majorBidi" w:cstheme="majorBidi"/>
          <w:sz w:val="20"/>
          <w:szCs w:val="20"/>
        </w:rPr>
        <w:t xml:space="preserve"> over time</w:t>
      </w:r>
      <w:r w:rsidR="00B6789C">
        <w:rPr>
          <w:rFonts w:asciiTheme="majorBidi" w:hAnsiTheme="majorBidi" w:cstheme="majorBidi"/>
          <w:sz w:val="20"/>
          <w:szCs w:val="20"/>
        </w:rPr>
        <w:t xml:space="preserve"> of a population of size 200 connected</w:t>
      </w:r>
      <w:r w:rsidR="00B07992">
        <w:rPr>
          <w:rFonts w:asciiTheme="majorBidi" w:hAnsiTheme="majorBidi" w:cstheme="majorBidi"/>
          <w:sz w:val="20"/>
          <w:szCs w:val="20"/>
        </w:rPr>
        <w:t xml:space="preserve"> to a population of size 2000 with a </w:t>
      </w:r>
      <w:r w:rsidR="007857D8">
        <w:rPr>
          <w:rFonts w:asciiTheme="majorBidi" w:hAnsiTheme="majorBidi" w:cstheme="majorBidi"/>
          <w:sz w:val="20"/>
          <w:szCs w:val="20"/>
        </w:rPr>
        <w:t>migration rate of 10</w:t>
      </w:r>
      <w:r w:rsidR="007857D8" w:rsidRPr="007566D3">
        <w:rPr>
          <w:rFonts w:ascii="Times New Roman" w:hAnsi="Times New Roman" w:cs="Times New Roman"/>
          <w:sz w:val="20"/>
          <w:szCs w:val="20"/>
        </w:rPr>
        <w:t>⁻⁷</w:t>
      </w:r>
      <w:r w:rsidR="007857D8">
        <w:rPr>
          <w:rFonts w:asciiTheme="majorBidi" w:hAnsiTheme="majorBidi" w:cstheme="majorBidi"/>
          <w:sz w:val="20"/>
          <w:szCs w:val="20"/>
        </w:rPr>
        <w:t xml:space="preserve"> per individual </w:t>
      </w:r>
      <w:r w:rsidR="007944D1">
        <w:rPr>
          <w:rFonts w:asciiTheme="majorBidi" w:hAnsiTheme="majorBidi" w:cstheme="majorBidi"/>
          <w:sz w:val="20"/>
          <w:szCs w:val="20"/>
        </w:rPr>
        <w:t>(a</w:t>
      </w:r>
      <w:r w:rsidR="007857D8">
        <w:rPr>
          <w:rFonts w:asciiTheme="majorBidi" w:hAnsiTheme="majorBidi" w:cstheme="majorBidi"/>
          <w:sz w:val="20"/>
          <w:szCs w:val="20"/>
        </w:rPr>
        <w:t xml:space="preserve">ll other parameters were set </w:t>
      </w:r>
      <w:r w:rsidR="00EB5CE5">
        <w:rPr>
          <w:rFonts w:asciiTheme="majorBidi" w:hAnsiTheme="majorBidi" w:cstheme="majorBidi"/>
          <w:sz w:val="20"/>
          <w:szCs w:val="20"/>
        </w:rPr>
        <w:t>to</w:t>
      </w:r>
      <w:r w:rsidR="007857D8">
        <w:rPr>
          <w:rFonts w:asciiTheme="majorBidi" w:hAnsiTheme="majorBidi" w:cstheme="majorBidi"/>
          <w:sz w:val="20"/>
          <w:szCs w:val="20"/>
        </w:rPr>
        <w:t xml:space="preserve"> default values</w:t>
      </w:r>
      <w:r w:rsidR="007944D1">
        <w:rPr>
          <w:rFonts w:asciiTheme="majorBidi" w:hAnsiTheme="majorBidi" w:cstheme="majorBidi"/>
          <w:sz w:val="20"/>
          <w:szCs w:val="20"/>
        </w:rPr>
        <w:t xml:space="preserve">, as described in </w:t>
      </w:r>
      <w:r w:rsidR="004B360A">
        <w:rPr>
          <w:rFonts w:asciiTheme="majorBidi" w:hAnsiTheme="majorBidi" w:cstheme="majorBidi"/>
          <w:sz w:val="20"/>
          <w:szCs w:val="20"/>
        </w:rPr>
        <w:t>Methods</w:t>
      </w:r>
      <w:r w:rsidR="007944D1">
        <w:rPr>
          <w:rFonts w:asciiTheme="majorBidi" w:hAnsiTheme="majorBidi" w:cstheme="majorBidi"/>
          <w:sz w:val="20"/>
          <w:szCs w:val="20"/>
        </w:rPr>
        <w:t>)</w:t>
      </w:r>
      <w:r w:rsidR="007857D8">
        <w:rPr>
          <w:rFonts w:asciiTheme="majorBidi" w:hAnsiTheme="majorBidi" w:cstheme="majorBidi"/>
          <w:sz w:val="20"/>
          <w:szCs w:val="20"/>
        </w:rPr>
        <w:t>.</w:t>
      </w:r>
      <w:r w:rsidR="004A7547">
        <w:rPr>
          <w:rFonts w:asciiTheme="majorBidi" w:hAnsiTheme="majorBidi" w:cstheme="majorBidi"/>
          <w:sz w:val="20"/>
          <w:szCs w:val="20"/>
        </w:rPr>
        <w:t xml:space="preserve"> </w:t>
      </w:r>
      <w:r w:rsidR="00A92268">
        <w:rPr>
          <w:rFonts w:asciiTheme="majorBidi" w:hAnsiTheme="majorBidi" w:cstheme="majorBidi"/>
          <w:sz w:val="20"/>
          <w:szCs w:val="20"/>
        </w:rPr>
        <w:t xml:space="preserve">Cultural repertoire size peaks after each migration event, but since they are </w:t>
      </w:r>
      <w:r w:rsidR="00A462EE">
        <w:rPr>
          <w:rFonts w:asciiTheme="majorBidi" w:hAnsiTheme="majorBidi" w:cstheme="majorBidi"/>
          <w:sz w:val="20"/>
          <w:szCs w:val="20"/>
        </w:rPr>
        <w:t xml:space="preserve">far enough apart, it </w:t>
      </w:r>
      <w:r w:rsidR="000C7449">
        <w:rPr>
          <w:rFonts w:asciiTheme="majorBidi" w:hAnsiTheme="majorBidi" w:cstheme="majorBidi"/>
          <w:sz w:val="20"/>
          <w:szCs w:val="20"/>
        </w:rPr>
        <w:t>returns</w:t>
      </w:r>
      <w:r w:rsidR="00A462EE">
        <w:rPr>
          <w:rFonts w:asciiTheme="majorBidi" w:hAnsiTheme="majorBidi" w:cstheme="majorBidi"/>
          <w:sz w:val="20"/>
          <w:szCs w:val="20"/>
        </w:rPr>
        <w:t xml:space="preserve"> to i</w:t>
      </w:r>
      <w:r w:rsidR="00B754FF">
        <w:rPr>
          <w:rFonts w:asciiTheme="majorBidi" w:hAnsiTheme="majorBidi" w:cstheme="majorBidi"/>
          <w:sz w:val="20"/>
          <w:szCs w:val="20"/>
        </w:rPr>
        <w:t xml:space="preserve">ts equilibrium value </w:t>
      </w:r>
      <w:r w:rsidR="004B360A">
        <w:rPr>
          <w:rFonts w:asciiTheme="majorBidi" w:hAnsiTheme="majorBidi" w:cstheme="majorBidi"/>
          <w:sz w:val="20"/>
          <w:szCs w:val="20"/>
        </w:rPr>
        <w:t>in</w:t>
      </w:r>
      <w:r w:rsidR="00B754FF">
        <w:rPr>
          <w:rFonts w:asciiTheme="majorBidi" w:hAnsiTheme="majorBidi" w:cstheme="majorBidi"/>
          <w:sz w:val="20"/>
          <w:szCs w:val="20"/>
        </w:rPr>
        <w:t xml:space="preserve"> isolation between migration events. </w:t>
      </w:r>
      <w:r w:rsidR="009154B5">
        <w:rPr>
          <w:rFonts w:asciiTheme="majorBidi" w:hAnsiTheme="majorBidi" w:cstheme="majorBidi"/>
          <w:sz w:val="20"/>
          <w:szCs w:val="20"/>
        </w:rPr>
        <w:t xml:space="preserve">This example demonstrates that </w:t>
      </w:r>
      <w:r w:rsidR="009C5D58">
        <w:rPr>
          <w:rFonts w:asciiTheme="majorBidi" w:hAnsiTheme="majorBidi" w:cstheme="majorBidi"/>
          <w:sz w:val="20"/>
          <w:szCs w:val="20"/>
        </w:rPr>
        <w:t xml:space="preserve">when </w:t>
      </w:r>
      <w:r w:rsidR="00930628">
        <w:rPr>
          <w:rFonts w:asciiTheme="majorBidi" w:hAnsiTheme="majorBidi" w:cstheme="majorBidi"/>
          <w:sz w:val="20"/>
          <w:szCs w:val="20"/>
        </w:rPr>
        <w:t xml:space="preserve">connectivity is low enough, </w:t>
      </w:r>
      <w:r w:rsidR="004D47ED">
        <w:rPr>
          <w:rFonts w:asciiTheme="majorBidi" w:hAnsiTheme="majorBidi" w:cstheme="majorBidi"/>
          <w:sz w:val="20"/>
          <w:szCs w:val="20"/>
        </w:rPr>
        <w:t xml:space="preserve">the </w:t>
      </w:r>
      <w:r w:rsidR="00AA162B">
        <w:rPr>
          <w:rFonts w:asciiTheme="majorBidi" w:hAnsiTheme="majorBidi" w:cstheme="majorBidi"/>
          <w:sz w:val="20"/>
          <w:szCs w:val="20"/>
        </w:rPr>
        <w:t>effective cultural population size</w:t>
      </w:r>
      <w:r w:rsidR="003C0202">
        <w:rPr>
          <w:rFonts w:asciiTheme="majorBidi" w:hAnsiTheme="majorBidi" w:cstheme="majorBidi"/>
          <w:sz w:val="20"/>
          <w:szCs w:val="20"/>
        </w:rPr>
        <w:t xml:space="preserve"> of an interconnected population</w:t>
      </w:r>
      <w:r w:rsidR="00AA162B">
        <w:rPr>
          <w:rFonts w:asciiTheme="majorBidi" w:hAnsiTheme="majorBidi" w:cstheme="majorBidi"/>
          <w:sz w:val="20"/>
          <w:szCs w:val="20"/>
        </w:rPr>
        <w:t xml:space="preserve"> can </w:t>
      </w:r>
      <w:r w:rsidR="000C7449">
        <w:rPr>
          <w:rFonts w:asciiTheme="majorBidi" w:hAnsiTheme="majorBidi" w:cstheme="majorBidi"/>
          <w:sz w:val="20"/>
          <w:szCs w:val="20"/>
        </w:rPr>
        <w:t>often be close to</w:t>
      </w:r>
      <w:r w:rsidR="00AA162B">
        <w:rPr>
          <w:rFonts w:asciiTheme="majorBidi" w:hAnsiTheme="majorBidi" w:cstheme="majorBidi"/>
          <w:sz w:val="20"/>
          <w:szCs w:val="20"/>
        </w:rPr>
        <w:t xml:space="preserve"> </w:t>
      </w:r>
      <w:r w:rsidR="00F421C0">
        <w:rPr>
          <w:rFonts w:asciiTheme="majorBidi" w:hAnsiTheme="majorBidi" w:cstheme="majorBidi"/>
          <w:sz w:val="20"/>
          <w:szCs w:val="20"/>
        </w:rPr>
        <w:t>the census size, thus maintaining the relationship between population size and cultural complexity.</w:t>
      </w:r>
    </w:p>
    <w:p w14:paraId="2C553EF4" w14:textId="77777777" w:rsidR="007857D8" w:rsidRPr="007857D8" w:rsidRDefault="007857D8" w:rsidP="007857D8">
      <w:pPr>
        <w:bidi w:val="0"/>
        <w:rPr>
          <w:rFonts w:asciiTheme="majorBidi" w:hAnsiTheme="majorBidi" w:cstheme="majorBidi"/>
          <w:sz w:val="20"/>
          <w:szCs w:val="20"/>
        </w:rPr>
      </w:pPr>
    </w:p>
    <w:p w14:paraId="7570327A" w14:textId="77777777" w:rsidR="000C7449" w:rsidRDefault="000C7449">
      <w:pPr>
        <w:bidi w:val="0"/>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51987277" w14:textId="606C2B47" w:rsidR="007857D8" w:rsidRDefault="007857D8" w:rsidP="007857D8">
      <w:pPr>
        <w:bidi w:val="0"/>
        <w:spacing w:line="240" w:lineRule="auto"/>
        <w:jc w:val="both"/>
        <w:rPr>
          <w:rFonts w:asciiTheme="majorBidi" w:eastAsia="Times New Roman" w:hAnsiTheme="majorBidi" w:cstheme="majorBidi"/>
          <w:sz w:val="24"/>
          <w:szCs w:val="24"/>
        </w:rPr>
      </w:pPr>
    </w:p>
    <w:p w14:paraId="0A34254F" w14:textId="0D87FC74" w:rsidR="0076405C" w:rsidRDefault="0076405C" w:rsidP="00C8260D">
      <w:pPr>
        <w:bidi w:val="0"/>
        <w:spacing w:line="240" w:lineRule="auto"/>
        <w:jc w:val="both"/>
        <w:rPr>
          <w:rFonts w:asciiTheme="majorBidi" w:eastAsia="Times New Roman" w:hAnsiTheme="majorBidi" w:cstheme="majorBidi"/>
          <w:sz w:val="20"/>
          <w:szCs w:val="20"/>
        </w:rPr>
      </w:pPr>
      <w:r>
        <w:rPr>
          <w:noProof/>
        </w:rPr>
        <w:drawing>
          <wp:inline distT="0" distB="0" distL="0" distR="0" wp14:anchorId="34EC9CD2" wp14:editId="663A4343">
            <wp:extent cx="5134610" cy="3587262"/>
            <wp:effectExtent l="0" t="0" r="8890" b="13335"/>
            <wp:docPr id="6" name="Chart 6">
              <a:extLst xmlns:a="http://schemas.openxmlformats.org/drawingml/2006/main">
                <a:ext uri="{FF2B5EF4-FFF2-40B4-BE49-F238E27FC236}">
                  <a16:creationId xmlns:a16="http://schemas.microsoft.com/office/drawing/2014/main" id="{3BA7232F-6AFF-B6B4-EA4F-49397D26D4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74F23D" w14:textId="1CAAF34A" w:rsidR="00C8260D" w:rsidRPr="00C8260D" w:rsidRDefault="000C7449" w:rsidP="0076405C">
      <w:pPr>
        <w:bidi w:val="0"/>
        <w:spacing w:line="240" w:lineRule="auto"/>
        <w:jc w:val="both"/>
        <w:rPr>
          <w:rFonts w:asciiTheme="majorBidi" w:eastAsia="Times New Roman" w:hAnsiTheme="majorBidi" w:cstheme="majorBidi"/>
          <w:sz w:val="20"/>
          <w:szCs w:val="20"/>
        </w:rPr>
      </w:pPr>
      <w:r w:rsidRPr="007566D3">
        <w:rPr>
          <w:rFonts w:asciiTheme="majorBidi" w:eastAsia="Times New Roman" w:hAnsiTheme="majorBidi" w:cstheme="majorBidi"/>
          <w:b/>
          <w:bCs/>
          <w:sz w:val="20"/>
          <w:szCs w:val="20"/>
        </w:rPr>
        <w:t xml:space="preserve">Figure S3. The relationship between the rate of connectivity and repertoire size follows a sigmoid-like curve. </w:t>
      </w:r>
      <w:r w:rsidR="00EB5074">
        <w:rPr>
          <w:rFonts w:asciiTheme="majorBidi" w:eastAsia="Times New Roman" w:hAnsiTheme="majorBidi" w:cstheme="majorBidi"/>
          <w:sz w:val="20"/>
          <w:szCs w:val="20"/>
        </w:rPr>
        <w:t>We</w:t>
      </w:r>
      <w:r w:rsidR="00BB3D38">
        <w:rPr>
          <w:rFonts w:asciiTheme="majorBidi" w:eastAsia="Times New Roman" w:hAnsiTheme="majorBidi" w:cstheme="majorBidi"/>
          <w:sz w:val="20"/>
          <w:szCs w:val="20"/>
        </w:rPr>
        <w:t xml:space="preserve"> demonstrate that</w:t>
      </w:r>
      <w:r w:rsidR="002F4BE4">
        <w:rPr>
          <w:rFonts w:asciiTheme="majorBidi" w:eastAsia="Times New Roman" w:hAnsiTheme="majorBidi" w:cstheme="majorBidi"/>
          <w:sz w:val="20"/>
          <w:szCs w:val="20"/>
        </w:rPr>
        <w:t xml:space="preserve">, according to our model, the relationship between </w:t>
      </w:r>
      <w:r w:rsidR="003E07B6">
        <w:rPr>
          <w:rFonts w:asciiTheme="majorBidi" w:eastAsia="Times New Roman" w:hAnsiTheme="majorBidi" w:cstheme="majorBidi"/>
          <w:sz w:val="20"/>
          <w:szCs w:val="20"/>
        </w:rPr>
        <w:t>connectivity and the cultural repertoire size of a population</w:t>
      </w:r>
      <w:r w:rsidR="00067853">
        <w:rPr>
          <w:rFonts w:asciiTheme="majorBidi" w:eastAsia="Times New Roman" w:hAnsiTheme="majorBidi" w:cstheme="majorBidi"/>
          <w:sz w:val="20"/>
          <w:szCs w:val="20"/>
        </w:rPr>
        <w:t xml:space="preserve"> is </w:t>
      </w:r>
      <w:r w:rsidR="00EB5074">
        <w:rPr>
          <w:rFonts w:asciiTheme="majorBidi" w:eastAsia="Times New Roman" w:hAnsiTheme="majorBidi" w:cstheme="majorBidi"/>
          <w:sz w:val="20"/>
          <w:szCs w:val="20"/>
        </w:rPr>
        <w:t>expected to be non-linear, and therefore difficult to control for</w:t>
      </w:r>
      <w:r w:rsidR="003E07B6">
        <w:rPr>
          <w:rFonts w:asciiTheme="majorBidi" w:eastAsia="Times New Roman" w:hAnsiTheme="majorBidi" w:cstheme="majorBidi"/>
          <w:sz w:val="20"/>
          <w:szCs w:val="20"/>
        </w:rPr>
        <w:t xml:space="preserve">. This figure </w:t>
      </w:r>
      <w:r w:rsidR="00D04C9E">
        <w:rPr>
          <w:rFonts w:asciiTheme="majorBidi" w:eastAsia="Times New Roman" w:hAnsiTheme="majorBidi" w:cstheme="majorBidi"/>
          <w:sz w:val="20"/>
          <w:szCs w:val="20"/>
        </w:rPr>
        <w:t xml:space="preserve">shows the relationship between the </w:t>
      </w:r>
      <w:r w:rsidR="004C037D">
        <w:rPr>
          <w:rFonts w:asciiTheme="majorBidi" w:eastAsia="Times New Roman" w:hAnsiTheme="majorBidi" w:cstheme="majorBidi"/>
          <w:sz w:val="20"/>
          <w:szCs w:val="20"/>
        </w:rPr>
        <w:t>log</w:t>
      </w:r>
      <w:r>
        <w:rPr>
          <w:rFonts w:asciiTheme="majorBidi" w:eastAsia="Times New Roman" w:hAnsiTheme="majorBidi" w:cstheme="majorBidi"/>
          <w:sz w:val="20"/>
          <w:szCs w:val="20"/>
        </w:rPr>
        <w:t xml:space="preserve">-transformed </w:t>
      </w:r>
      <w:r w:rsidR="00D04C9E">
        <w:rPr>
          <w:rFonts w:asciiTheme="majorBidi" w:eastAsia="Times New Roman" w:hAnsiTheme="majorBidi" w:cstheme="majorBidi"/>
          <w:sz w:val="20"/>
          <w:szCs w:val="20"/>
        </w:rPr>
        <w:t xml:space="preserve">cultural repertoire size of a population </w:t>
      </w:r>
      <w:r w:rsidR="00564680">
        <w:rPr>
          <w:rFonts w:asciiTheme="majorBidi" w:eastAsia="Times New Roman" w:hAnsiTheme="majorBidi" w:cstheme="majorBidi"/>
          <w:sz w:val="20"/>
          <w:szCs w:val="20"/>
        </w:rPr>
        <w:t xml:space="preserve">of size 100 connected to another population of the same size with </w:t>
      </w:r>
      <w:r w:rsidR="00987733">
        <w:rPr>
          <w:rFonts w:asciiTheme="majorBidi" w:eastAsia="Times New Roman" w:hAnsiTheme="majorBidi" w:cstheme="majorBidi"/>
          <w:sz w:val="20"/>
          <w:szCs w:val="20"/>
        </w:rPr>
        <w:t xml:space="preserve">a migration rate ranging between </w:t>
      </w:r>
      <w:r w:rsidR="002C3F5F">
        <w:rPr>
          <w:rFonts w:asciiTheme="majorBidi" w:eastAsia="Times New Roman" w:hAnsiTheme="majorBidi" w:cstheme="majorBidi"/>
          <w:sz w:val="20"/>
          <w:szCs w:val="20"/>
        </w:rPr>
        <w:t>10</w:t>
      </w:r>
      <w:r w:rsidR="002C3F5F">
        <w:rPr>
          <w:rFonts w:ascii="Calibri" w:eastAsia="Times New Roman" w:hAnsi="Calibri" w:cs="Calibri"/>
          <w:sz w:val="20"/>
          <w:szCs w:val="20"/>
        </w:rPr>
        <w:t>⁻</w:t>
      </w:r>
      <w:r w:rsidR="002C3F5F">
        <w:rPr>
          <w:rFonts w:asciiTheme="majorBidi" w:eastAsia="Times New Roman" w:hAnsiTheme="majorBidi" w:cstheme="majorBidi"/>
          <w:sz w:val="20"/>
          <w:szCs w:val="20"/>
        </w:rPr>
        <w:t>⁶ and 1.</w:t>
      </w:r>
      <w:r w:rsidR="007A674E">
        <w:rPr>
          <w:rFonts w:asciiTheme="majorBidi" w:eastAsia="Times New Roman" w:hAnsiTheme="majorBidi" w:cstheme="majorBidi"/>
          <w:sz w:val="20"/>
          <w:szCs w:val="20"/>
        </w:rPr>
        <w:t xml:space="preserve"> </w:t>
      </w:r>
      <w:r>
        <w:rPr>
          <w:rFonts w:asciiTheme="majorBidi" w:eastAsia="Times New Roman" w:hAnsiTheme="majorBidi" w:cstheme="majorBidi"/>
          <w:sz w:val="20"/>
          <w:szCs w:val="20"/>
        </w:rPr>
        <w:t>The i</w:t>
      </w:r>
      <w:r w:rsidR="00A36535">
        <w:rPr>
          <w:rFonts w:asciiTheme="majorBidi" w:eastAsia="Times New Roman" w:hAnsiTheme="majorBidi" w:cstheme="majorBidi"/>
          <w:sz w:val="20"/>
          <w:szCs w:val="20"/>
        </w:rPr>
        <w:t xml:space="preserve">ndividual probability of invention </w:t>
      </w:r>
      <w:r>
        <w:rPr>
          <w:rFonts w:asciiTheme="majorBidi" w:eastAsia="Times New Roman" w:hAnsiTheme="majorBidi" w:cstheme="majorBidi"/>
          <w:sz w:val="20"/>
          <w:szCs w:val="20"/>
        </w:rPr>
        <w:t xml:space="preserve">was </w:t>
      </w:r>
      <w:r w:rsidR="00A36535">
        <w:rPr>
          <w:rFonts w:asciiTheme="majorBidi" w:eastAsia="Times New Roman" w:hAnsiTheme="majorBidi" w:cstheme="majorBidi"/>
          <w:sz w:val="20"/>
          <w:szCs w:val="20"/>
        </w:rPr>
        <w:t xml:space="preserve">0.01 and </w:t>
      </w:r>
      <w:r w:rsidR="00C15203">
        <w:rPr>
          <w:rFonts w:asciiTheme="majorBidi" w:eastAsia="Times New Roman" w:hAnsiTheme="majorBidi" w:cstheme="majorBidi"/>
          <w:sz w:val="20"/>
          <w:szCs w:val="20"/>
        </w:rPr>
        <w:t>the</w:t>
      </w:r>
      <w:r w:rsidR="00A36535">
        <w:rPr>
          <w:rFonts w:asciiTheme="majorBidi" w:eastAsia="Times New Roman" w:hAnsiTheme="majorBidi" w:cstheme="majorBidi"/>
          <w:sz w:val="20"/>
          <w:szCs w:val="20"/>
        </w:rPr>
        <w:t xml:space="preserve"> probability of loss </w:t>
      </w:r>
      <w:r>
        <w:rPr>
          <w:rFonts w:asciiTheme="majorBidi" w:eastAsia="Times New Roman" w:hAnsiTheme="majorBidi" w:cstheme="majorBidi"/>
          <w:sz w:val="20"/>
          <w:szCs w:val="20"/>
        </w:rPr>
        <w:t xml:space="preserve">was </w:t>
      </w:r>
      <w:r w:rsidR="00A36535">
        <w:rPr>
          <w:rFonts w:asciiTheme="majorBidi" w:eastAsia="Times New Roman" w:hAnsiTheme="majorBidi" w:cstheme="majorBidi"/>
          <w:sz w:val="20"/>
          <w:szCs w:val="20"/>
        </w:rPr>
        <w:t xml:space="preserve">0.01 per tool </w:t>
      </w:r>
      <w:r>
        <w:rPr>
          <w:rFonts w:asciiTheme="majorBidi" w:eastAsia="Times New Roman" w:hAnsiTheme="majorBidi" w:cstheme="majorBidi"/>
          <w:sz w:val="20"/>
          <w:szCs w:val="20"/>
        </w:rPr>
        <w:t xml:space="preserve">at </w:t>
      </w:r>
      <w:r w:rsidR="00A36535">
        <w:rPr>
          <w:rFonts w:asciiTheme="majorBidi" w:eastAsia="Times New Roman" w:hAnsiTheme="majorBidi" w:cstheme="majorBidi"/>
          <w:sz w:val="20"/>
          <w:szCs w:val="20"/>
        </w:rPr>
        <w:t>the population level for a population of size 100</w:t>
      </w:r>
      <w:r>
        <w:rPr>
          <w:rFonts w:asciiTheme="majorBidi" w:eastAsia="Times New Roman" w:hAnsiTheme="majorBidi" w:cstheme="majorBidi"/>
          <w:sz w:val="20"/>
          <w:szCs w:val="20"/>
        </w:rPr>
        <w:t>;</w:t>
      </w:r>
      <w:r w:rsidR="00A36535">
        <w:rPr>
          <w:rFonts w:asciiTheme="majorBidi" w:eastAsia="Times New Roman" w:hAnsiTheme="majorBidi" w:cstheme="majorBidi"/>
          <w:sz w:val="20"/>
          <w:szCs w:val="20"/>
        </w:rPr>
        <w:t xml:space="preserve"> see Methods.</w:t>
      </w:r>
      <w:r w:rsidR="00EA7479">
        <w:rPr>
          <w:rFonts w:asciiTheme="majorBidi" w:eastAsia="Times New Roman" w:hAnsiTheme="majorBidi" w:cstheme="majorBidi"/>
          <w:sz w:val="20"/>
          <w:szCs w:val="20"/>
        </w:rPr>
        <w:t xml:space="preserve"> </w:t>
      </w:r>
      <w:r>
        <w:rPr>
          <w:rFonts w:asciiTheme="majorBidi" w:eastAsia="Times New Roman" w:hAnsiTheme="majorBidi" w:cstheme="majorBidi"/>
          <w:sz w:val="20"/>
          <w:szCs w:val="20"/>
        </w:rPr>
        <w:t>O</w:t>
      </w:r>
      <w:r w:rsidR="00C834D6" w:rsidRPr="00C834D6">
        <w:rPr>
          <w:rFonts w:asciiTheme="majorBidi" w:eastAsia="Times New Roman" w:hAnsiTheme="majorBidi" w:cstheme="majorBidi"/>
          <w:sz w:val="20"/>
          <w:szCs w:val="20"/>
        </w:rPr>
        <w:t xml:space="preserve">ur </w:t>
      </w:r>
      <w:r w:rsidR="00C834D6">
        <w:rPr>
          <w:rFonts w:asciiTheme="majorBidi" w:eastAsia="Times New Roman" w:hAnsiTheme="majorBidi" w:cstheme="majorBidi"/>
          <w:sz w:val="20"/>
          <w:szCs w:val="20"/>
        </w:rPr>
        <w:t>results show that</w:t>
      </w:r>
      <w:r w:rsidR="00C834D6" w:rsidRPr="00C834D6">
        <w:rPr>
          <w:rFonts w:asciiTheme="majorBidi" w:eastAsia="Times New Roman" w:hAnsiTheme="majorBidi" w:cstheme="majorBidi"/>
          <w:sz w:val="20"/>
          <w:szCs w:val="20"/>
        </w:rPr>
        <w:t xml:space="preserve"> the relationship between connectivity level and cultural repertoire size </w:t>
      </w:r>
      <w:r w:rsidR="00C834D6">
        <w:rPr>
          <w:rFonts w:asciiTheme="majorBidi" w:eastAsia="Times New Roman" w:hAnsiTheme="majorBidi" w:cstheme="majorBidi"/>
          <w:sz w:val="20"/>
          <w:szCs w:val="20"/>
        </w:rPr>
        <w:t>is expected to be</w:t>
      </w:r>
      <w:r w:rsidR="00C834D6" w:rsidRPr="00C834D6">
        <w:rPr>
          <w:rFonts w:asciiTheme="majorBidi" w:eastAsia="Times New Roman" w:hAnsiTheme="majorBidi" w:cstheme="majorBidi"/>
          <w:sz w:val="20"/>
          <w:szCs w:val="20"/>
        </w:rPr>
        <w:t xml:space="preserve"> sigmoid-like</w:t>
      </w:r>
      <w:r>
        <w:rPr>
          <w:rFonts w:asciiTheme="majorBidi" w:eastAsia="Times New Roman" w:hAnsiTheme="majorBidi" w:cstheme="majorBidi"/>
          <w:sz w:val="20"/>
          <w:szCs w:val="20"/>
        </w:rPr>
        <w:t>:</w:t>
      </w:r>
      <w:r w:rsidR="00C834D6" w:rsidRPr="00C834D6">
        <w:rPr>
          <w:rFonts w:asciiTheme="majorBidi" w:eastAsia="Times New Roman" w:hAnsiTheme="majorBidi" w:cstheme="majorBidi"/>
          <w:sz w:val="20"/>
          <w:szCs w:val="20"/>
        </w:rPr>
        <w:t xml:space="preserve"> when migration is very rare, the repertoire size has enough time to reduce to its equilibrium at isolation</w:t>
      </w:r>
      <w:r w:rsidR="00930DEB">
        <w:rPr>
          <w:rFonts w:asciiTheme="majorBidi" w:eastAsia="Times New Roman" w:hAnsiTheme="majorBidi" w:cstheme="majorBidi"/>
          <w:sz w:val="20"/>
          <w:szCs w:val="20"/>
        </w:rPr>
        <w:t xml:space="preserve"> (see Figure S2)</w:t>
      </w:r>
      <w:r w:rsidR="00C834D6" w:rsidRPr="00C834D6">
        <w:rPr>
          <w:rFonts w:asciiTheme="majorBidi" w:eastAsia="Times New Roman" w:hAnsiTheme="majorBidi" w:cstheme="majorBidi"/>
          <w:sz w:val="20"/>
          <w:szCs w:val="20"/>
        </w:rPr>
        <w:t xml:space="preserve">, while when it is very common, the contribution of </w:t>
      </w:r>
      <w:r w:rsidR="00AE5EDE">
        <w:rPr>
          <w:rFonts w:asciiTheme="majorBidi" w:eastAsia="Times New Roman" w:hAnsiTheme="majorBidi" w:cstheme="majorBidi"/>
          <w:sz w:val="20"/>
          <w:szCs w:val="20"/>
        </w:rPr>
        <w:t xml:space="preserve">each </w:t>
      </w:r>
      <w:r w:rsidR="00C834D6" w:rsidRPr="00C834D6">
        <w:rPr>
          <w:rFonts w:asciiTheme="majorBidi" w:eastAsia="Times New Roman" w:hAnsiTheme="majorBidi" w:cstheme="majorBidi"/>
          <w:sz w:val="20"/>
          <w:szCs w:val="20"/>
        </w:rPr>
        <w:t xml:space="preserve">additional migrant is reduced, since </w:t>
      </w:r>
      <w:r w:rsidR="004A460E">
        <w:rPr>
          <w:rFonts w:asciiTheme="majorBidi" w:eastAsia="Times New Roman" w:hAnsiTheme="majorBidi" w:cstheme="majorBidi"/>
          <w:sz w:val="20"/>
          <w:szCs w:val="20"/>
        </w:rPr>
        <w:t>the tools it carries are very likely to have been introduced by others</w:t>
      </w:r>
      <w:r w:rsidR="00C834D6" w:rsidRPr="00C834D6">
        <w:rPr>
          <w:rFonts w:asciiTheme="majorBidi" w:eastAsia="Times New Roman" w:hAnsiTheme="majorBidi" w:cstheme="majorBidi"/>
          <w:sz w:val="20"/>
          <w:szCs w:val="20"/>
        </w:rPr>
        <w:t>.</w:t>
      </w:r>
    </w:p>
    <w:sectPr w:rsidR="00C8260D" w:rsidRPr="00C8260D" w:rsidSect="00624DAC">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EF"/>
    <w:rsid w:val="00002567"/>
    <w:rsid w:val="0000300C"/>
    <w:rsid w:val="00067853"/>
    <w:rsid w:val="000C7449"/>
    <w:rsid w:val="001E367E"/>
    <w:rsid w:val="002250D5"/>
    <w:rsid w:val="002629A2"/>
    <w:rsid w:val="002B621F"/>
    <w:rsid w:val="002C3F5F"/>
    <w:rsid w:val="002F4BE4"/>
    <w:rsid w:val="00321FA8"/>
    <w:rsid w:val="00364C62"/>
    <w:rsid w:val="003C0202"/>
    <w:rsid w:val="003E07B6"/>
    <w:rsid w:val="00472C45"/>
    <w:rsid w:val="004A460E"/>
    <w:rsid w:val="004A7547"/>
    <w:rsid w:val="004B2CDC"/>
    <w:rsid w:val="004B360A"/>
    <w:rsid w:val="004C037D"/>
    <w:rsid w:val="004D47ED"/>
    <w:rsid w:val="00564680"/>
    <w:rsid w:val="006020F8"/>
    <w:rsid w:val="00624DAC"/>
    <w:rsid w:val="00687A32"/>
    <w:rsid w:val="00690B83"/>
    <w:rsid w:val="006938EF"/>
    <w:rsid w:val="007566D3"/>
    <w:rsid w:val="0076405C"/>
    <w:rsid w:val="007803E4"/>
    <w:rsid w:val="007857D8"/>
    <w:rsid w:val="00790BC9"/>
    <w:rsid w:val="007944D1"/>
    <w:rsid w:val="007A674E"/>
    <w:rsid w:val="007B1B89"/>
    <w:rsid w:val="008A26A5"/>
    <w:rsid w:val="008E0515"/>
    <w:rsid w:val="009154B5"/>
    <w:rsid w:val="00930628"/>
    <w:rsid w:val="00930DEB"/>
    <w:rsid w:val="00975A16"/>
    <w:rsid w:val="00987733"/>
    <w:rsid w:val="009C5D58"/>
    <w:rsid w:val="00A36535"/>
    <w:rsid w:val="00A462EE"/>
    <w:rsid w:val="00A92268"/>
    <w:rsid w:val="00A94A13"/>
    <w:rsid w:val="00AA162B"/>
    <w:rsid w:val="00AE5EDE"/>
    <w:rsid w:val="00B07992"/>
    <w:rsid w:val="00B14E58"/>
    <w:rsid w:val="00B6789C"/>
    <w:rsid w:val="00B754FF"/>
    <w:rsid w:val="00BA3EDC"/>
    <w:rsid w:val="00BA7F43"/>
    <w:rsid w:val="00BB3D38"/>
    <w:rsid w:val="00C15203"/>
    <w:rsid w:val="00C8260D"/>
    <w:rsid w:val="00C834D6"/>
    <w:rsid w:val="00CD3D6C"/>
    <w:rsid w:val="00D04C9E"/>
    <w:rsid w:val="00D139CC"/>
    <w:rsid w:val="00E42169"/>
    <w:rsid w:val="00E51612"/>
    <w:rsid w:val="00E73077"/>
    <w:rsid w:val="00EA7479"/>
    <w:rsid w:val="00EB5074"/>
    <w:rsid w:val="00EB5CE5"/>
    <w:rsid w:val="00F421C0"/>
    <w:rsid w:val="00F50125"/>
    <w:rsid w:val="00FC75D4"/>
    <w:rsid w:val="00FE11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8F18"/>
  <w15:chartTrackingRefBased/>
  <w15:docId w15:val="{51D0865A-EC0E-48E6-B5F0-80360884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8E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92268"/>
    <w:pPr>
      <w:spacing w:after="0" w:line="240" w:lineRule="auto"/>
    </w:pPr>
  </w:style>
  <w:style w:type="character" w:styleId="CommentReference">
    <w:name w:val="annotation reference"/>
    <w:basedOn w:val="DefaultParagraphFont"/>
    <w:uiPriority w:val="99"/>
    <w:semiHidden/>
    <w:unhideWhenUsed/>
    <w:rsid w:val="00EA7479"/>
    <w:rPr>
      <w:sz w:val="16"/>
      <w:szCs w:val="16"/>
    </w:rPr>
  </w:style>
  <w:style w:type="paragraph" w:styleId="CommentText">
    <w:name w:val="annotation text"/>
    <w:basedOn w:val="Normal"/>
    <w:link w:val="CommentTextChar"/>
    <w:uiPriority w:val="99"/>
    <w:unhideWhenUsed/>
    <w:rsid w:val="00EA7479"/>
    <w:pPr>
      <w:spacing w:line="240" w:lineRule="auto"/>
    </w:pPr>
    <w:rPr>
      <w:sz w:val="20"/>
      <w:szCs w:val="20"/>
    </w:rPr>
  </w:style>
  <w:style w:type="character" w:customStyle="1" w:styleId="CommentTextChar">
    <w:name w:val="Comment Text Char"/>
    <w:basedOn w:val="DefaultParagraphFont"/>
    <w:link w:val="CommentText"/>
    <w:uiPriority w:val="99"/>
    <w:rsid w:val="00EA7479"/>
    <w:rPr>
      <w:sz w:val="20"/>
      <w:szCs w:val="20"/>
    </w:rPr>
  </w:style>
  <w:style w:type="paragraph" w:styleId="CommentSubject">
    <w:name w:val="annotation subject"/>
    <w:basedOn w:val="CommentText"/>
    <w:next w:val="CommentText"/>
    <w:link w:val="CommentSubjectChar"/>
    <w:uiPriority w:val="99"/>
    <w:semiHidden/>
    <w:unhideWhenUsed/>
    <w:rsid w:val="00EA7479"/>
    <w:rPr>
      <w:b/>
      <w:bCs/>
    </w:rPr>
  </w:style>
  <w:style w:type="character" w:customStyle="1" w:styleId="CommentSubjectChar">
    <w:name w:val="Comment Subject Char"/>
    <w:basedOn w:val="CommentTextChar"/>
    <w:link w:val="CommentSubject"/>
    <w:uiPriority w:val="99"/>
    <w:semiHidden/>
    <w:rsid w:val="00EA74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38b389a5650ad18/&#1502;&#1505;&#1502;&#1499;&#1497;&#1501;/PhD/SSS%20project/Revision/results%20tab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relationship</a:t>
            </a:r>
            <a:r>
              <a:rPr lang="en-US" baseline="0"/>
              <a:t> between connectivity and repertoire size at equilibrium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Sheet2!$V$10:$V$16</c:f>
              <c:numCache>
                <c:formatCode>General</c:formatCode>
                <c:ptCount val="7"/>
                <c:pt idx="0">
                  <c:v>9.9999999999999995E-7</c:v>
                </c:pt>
                <c:pt idx="1">
                  <c:v>1.0000000000000001E-5</c:v>
                </c:pt>
                <c:pt idx="2">
                  <c:v>1E-4</c:v>
                </c:pt>
                <c:pt idx="3">
                  <c:v>1E-3</c:v>
                </c:pt>
                <c:pt idx="4">
                  <c:v>0.01</c:v>
                </c:pt>
                <c:pt idx="5">
                  <c:v>0.1</c:v>
                </c:pt>
                <c:pt idx="6">
                  <c:v>1</c:v>
                </c:pt>
              </c:numCache>
            </c:numRef>
          </c:cat>
          <c:val>
            <c:numRef>
              <c:f>Sheet2!$W$10:$W$16</c:f>
              <c:numCache>
                <c:formatCode>General</c:formatCode>
                <c:ptCount val="7"/>
                <c:pt idx="0">
                  <c:v>1.0041063232796581</c:v>
                </c:pt>
                <c:pt idx="1">
                  <c:v>1.0088215203745048</c:v>
                </c:pt>
                <c:pt idx="2">
                  <c:v>1.1031192535457139</c:v>
                </c:pt>
                <c:pt idx="3">
                  <c:v>1.4936030239901856</c:v>
                </c:pt>
                <c:pt idx="4">
                  <c:v>2.317345320670321</c:v>
                </c:pt>
                <c:pt idx="5">
                  <c:v>3.1082301090531099</c:v>
                </c:pt>
                <c:pt idx="6">
                  <c:v>3.2679638629501571</c:v>
                </c:pt>
              </c:numCache>
            </c:numRef>
          </c:val>
          <c:smooth val="0"/>
          <c:extLst>
            <c:ext xmlns:c16="http://schemas.microsoft.com/office/drawing/2014/chart" uri="{C3380CC4-5D6E-409C-BE32-E72D297353CC}">
              <c16:uniqueId val="{00000000-38A5-4D7C-825E-CDFDE9B08649}"/>
            </c:ext>
          </c:extLst>
        </c:ser>
        <c:dLbls>
          <c:showLegendKey val="0"/>
          <c:showVal val="0"/>
          <c:showCatName val="0"/>
          <c:showSerName val="0"/>
          <c:showPercent val="0"/>
          <c:showBubbleSize val="0"/>
        </c:dLbls>
        <c:smooth val="0"/>
        <c:axId val="315020736"/>
        <c:axId val="315033632"/>
      </c:lineChart>
      <c:catAx>
        <c:axId val="315020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Individual probability of migration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033632"/>
        <c:crosses val="autoZero"/>
        <c:auto val="1"/>
        <c:lblAlgn val="ctr"/>
        <c:lblOffset val="100"/>
        <c:noMultiLvlLbl val="0"/>
      </c:catAx>
      <c:valAx>
        <c:axId val="315033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Cultural</a:t>
                </a:r>
                <a:r>
                  <a:rPr lang="en-US" baseline="0"/>
                  <a:t> repertoire size at equilibrium (log scale)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020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Ben Oren</dc:creator>
  <cp:keywords/>
  <dc:description/>
  <cp:lastModifiedBy>Creanza, Nicole</cp:lastModifiedBy>
  <cp:revision>2</cp:revision>
  <dcterms:created xsi:type="dcterms:W3CDTF">2023-03-10T20:32:00Z</dcterms:created>
  <dcterms:modified xsi:type="dcterms:W3CDTF">2023-03-10T20:32:00Z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5bb85771-439e-46e2-b91e-dfd0107e6502</vt:lpwstr>
  </property>
</Properties>
</file>