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Algo for AVL tree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node with the given key or value.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tree is empty: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yes, make the new node the root of the tree.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no, proceed to the next step.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the node using standard Binary Search Tree (BST) logic (left if smaller, right if greater).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insertion, update the height of each ancestor node and calculate its balance factor.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balance factor of any node is outside the range [-1, 1], the tree is unbalanced: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the appropriate rotation(s) (LL, RR, LR, RL) to restore balance.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this process recursively up the tree until all nodes are balanced.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Write code for AVL tree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Hint: try to insert nodes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While inserting get the balance of the tree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Create 2 methods for left rotate and right rotate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Try to insert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Finally display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0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9388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3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193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1.If the tree is empty, insert the new node as root and color it black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2.If the tree is not empty, insert the new node as a leaf and color it 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3.If the parent of the new node is red and the parent’s sibling (uncle) is also red: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color of parent and uncle to black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color of grandparent to red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grandparent is root, keep it black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4.If the parent is red and the uncle is null or black: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a rotation to fix the red-red conflict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type depends on the position of the new node (LL or LR)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5.Left-Left rotation is used when the new node is the left child of a left parent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the parent and demote the grandparent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parent black and grandparent 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6.Left-Right rotation is used when the new node is the right child of a left parent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Rotate left at parent, then right at grandparent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colors based on position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7.Rotations are applied only when the parent is red and the uncle is null or black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