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b/>
          <w:sz w:val="32"/>
        </w:rPr>
        <w:t>PROJECT REPORT</w:t>
      </w:r>
    </w:p>
    <w:p>
      <w:pPr>
        <w:spacing w:after="200"/>
        <w:jc w:val="center"/>
      </w:pPr>
      <w:r>
        <w:rPr>
          <w:sz w:val="26"/>
        </w:rPr>
        <w:t>Submitted by</w:t>
      </w:r>
    </w:p>
    <w:tbl>
      <w:tblPr>
        <w:tblW w:type="auto" w:w="0"/>
        <w:jc w:val="center"/>
        <w:tblLook w:firstColumn="1" w:firstRow="1" w:lastColumn="0" w:lastRow="0" w:noHBand="0" w:noVBand="1" w:val="04A0"/>
      </w:tblPr>
      <w:tblGrid>
        <w:gridCol w:w="4500"/>
        <w:gridCol w:w="4500"/>
      </w:tblGrid>
      <w:tr>
        <w:tc>
          <w:tcPr>
            <w:tcW w:type="dxa" w:w="4608"/>
          </w:tcPr>
          <w:p>
            <w:pPr>
              <w:spacing w:line="276" w:lineRule="auto" w:after="40"/>
              <w:jc w:val="left"/>
            </w:pPr>
            <w:r>
              <w:rPr>
                <w:b/>
                <w:sz w:val="24"/>
              </w:rPr>
              <w:t>MOUNISH V</w:t>
            </w:r>
          </w:p>
        </w:tc>
        <w:tc>
          <w:tcPr>
            <w:tcW w:type="dxa" w:w="2592"/>
          </w:tcPr>
          <w:p>
            <w:pPr>
              <w:spacing w:line="276" w:lineRule="auto" w:after="40"/>
              <w:jc w:val="right"/>
            </w:pPr>
            <w:r>
              <w:rPr>
                <w:b/>
                <w:sz w:val="24"/>
              </w:rPr>
              <w:t>24DC29</w:t>
            </w:r>
          </w:p>
        </w:tc>
      </w:tr>
      <w:tr>
        <w:tc>
          <w:tcPr>
            <w:tcW w:type="dxa" w:w="4608"/>
          </w:tcPr>
          <w:p>
            <w:pPr>
              <w:spacing w:line="276" w:lineRule="auto" w:after="40"/>
              <w:jc w:val="left"/>
            </w:pPr>
            <w:r>
              <w:rPr>
                <w:b/>
                <w:sz w:val="24"/>
              </w:rPr>
              <w:t>NIKIL VARDHAN V</w:t>
            </w:r>
          </w:p>
        </w:tc>
        <w:tc>
          <w:tcPr>
            <w:tcW w:type="dxa" w:w="2592"/>
          </w:tcPr>
          <w:p>
            <w:pPr>
              <w:spacing w:line="276" w:lineRule="auto" w:after="40"/>
              <w:jc w:val="right"/>
            </w:pPr>
            <w:r>
              <w:rPr>
                <w:b/>
                <w:sz w:val="24"/>
              </w:rPr>
              <w:t>24DC33</w:t>
            </w:r>
          </w:p>
        </w:tc>
      </w:tr>
      <w:tr>
        <w:tc>
          <w:tcPr>
            <w:tcW w:type="dxa" w:w="4608"/>
          </w:tcPr>
          <w:p>
            <w:pPr>
              <w:spacing w:line="276" w:lineRule="auto" w:after="40"/>
              <w:jc w:val="left"/>
            </w:pPr>
            <w:r>
              <w:rPr>
                <w:b/>
                <w:sz w:val="24"/>
              </w:rPr>
              <w:t>SHREE RAM SARAN S</w:t>
            </w:r>
          </w:p>
        </w:tc>
        <w:tc>
          <w:tcPr>
            <w:tcW w:type="dxa" w:w="2592"/>
          </w:tcPr>
          <w:p>
            <w:pPr>
              <w:spacing w:line="276" w:lineRule="auto" w:after="40"/>
              <w:jc w:val="right"/>
            </w:pPr>
            <w:r>
              <w:rPr>
                <w:b/>
                <w:sz w:val="24"/>
              </w:rPr>
              <w:t>24DC44</w:t>
            </w:r>
          </w:p>
        </w:tc>
      </w:tr>
      <w:tr>
        <w:tc>
          <w:tcPr>
            <w:tcW w:type="dxa" w:w="4608"/>
          </w:tcPr>
          <w:p>
            <w:pPr>
              <w:spacing w:line="276" w:lineRule="auto" w:after="40"/>
              <w:jc w:val="left"/>
            </w:pPr>
            <w:r>
              <w:rPr>
                <w:b/>
                <w:sz w:val="24"/>
              </w:rPr>
              <w:t>TERREANCE ADRIAN A</w:t>
            </w:r>
          </w:p>
        </w:tc>
        <w:tc>
          <w:tcPr>
            <w:tcW w:type="dxa" w:w="2592"/>
          </w:tcPr>
          <w:p>
            <w:pPr>
              <w:spacing w:line="276" w:lineRule="auto" w:after="40"/>
              <w:jc w:val="right"/>
            </w:pPr>
            <w:r>
              <w:rPr>
                <w:b/>
                <w:sz w:val="24"/>
              </w:rPr>
              <w:t>24DC49</w:t>
            </w:r>
          </w:p>
        </w:tc>
      </w:tr>
      <w:tr>
        <w:tc>
          <w:tcPr>
            <w:tcW w:type="dxa" w:w="4608"/>
          </w:tcPr>
          <w:p>
            <w:pPr>
              <w:spacing w:line="276" w:lineRule="auto" w:after="40"/>
              <w:jc w:val="left"/>
            </w:pPr>
            <w:r>
              <w:rPr>
                <w:b/>
                <w:sz w:val="24"/>
              </w:rPr>
              <w:t>JAYAWANTH J</w:t>
            </w:r>
          </w:p>
        </w:tc>
        <w:tc>
          <w:tcPr>
            <w:tcW w:type="dxa" w:w="2592"/>
          </w:tcPr>
          <w:p>
            <w:pPr>
              <w:spacing w:line="276" w:lineRule="auto" w:after="40"/>
              <w:jc w:val="right"/>
            </w:pPr>
            <w:r>
              <w:rPr>
                <w:b/>
                <w:sz w:val="24"/>
              </w:rPr>
              <w:t>24DCH06</w:t>
            </w:r>
          </w:p>
        </w:tc>
      </w:tr>
    </w:tbl>
    <w:p>
      <w:pPr>
        <w:spacing w:before="240" w:after="40"/>
        <w:jc w:val="center"/>
      </w:pPr>
      <w:r>
        <w:rPr>
          <w:sz w:val="24"/>
        </w:rPr>
        <w:t>Under the guidance of</w:t>
      </w:r>
    </w:p>
    <w:p>
      <w:pPr>
        <w:spacing w:after="200"/>
        <w:jc w:val="center"/>
      </w:pPr>
      <w:r>
        <w:rPr>
          <w:b/>
          <w:sz w:val="26"/>
        </w:rPr>
        <w:t>Ms. N SUBHASHINI</w:t>
      </w:r>
    </w:p>
    <w:p>
      <w:pPr>
        <w:spacing w:after="80"/>
        <w:jc w:val="center"/>
      </w:pPr>
      <w:r>
        <w:rPr>
          <w:sz w:val="24"/>
        </w:rPr>
        <w:t>In partial fulfillment of the requirement for the award of</w:t>
      </w:r>
    </w:p>
    <w:p>
      <w:pPr>
        <w:spacing w:after="120"/>
        <w:jc w:val="center"/>
      </w:pPr>
      <w:r>
        <w:rPr>
          <w:b/>
          <w:sz w:val="26"/>
        </w:rPr>
        <w:t>DIPLOMA IN COMPUTER NETWORKING</w:t>
      </w:r>
    </w:p>
    <w:p>
      <w:pPr>
        <w:spacing w:after="200"/>
        <w:jc w:val="center"/>
      </w:pPr>
      <w:r>
        <w:rPr>
          <w:b/>
          <w:sz w:val="22"/>
        </w:rPr>
        <w:t>STATE BOARD OF TECHNICAL EDUCATION GOVERNMENT OF TAMILNADU</w:t>
      </w:r>
    </w:p>
    <w:p>
      <w:pPr>
        <w:spacing w:before="120" w:after="160"/>
        <w:jc w:val="center"/>
      </w:pPr>
      <w:r>
        <w:drawing>
          <wp:inline xmlns:a="http://schemas.openxmlformats.org/drawingml/2006/main" xmlns:pic="http://schemas.openxmlformats.org/drawingml/2006/picture">
            <wp:extent cx="1188720" cy="713232"/>
            <wp:docPr id="1" name="Picture 1"/>
            <wp:cNvGraphicFramePr>
              <a:graphicFrameLocks noChangeAspect="1"/>
            </wp:cNvGraphicFramePr>
            <a:graphic>
              <a:graphicData uri="http://schemas.openxmlformats.org/drawingml/2006/picture">
                <pic:pic>
                  <pic:nvPicPr>
                    <pic:cNvPr id="0" name="image_0.jpg"/>
                    <pic:cNvPicPr/>
                  </pic:nvPicPr>
                  <pic:blipFill>
                    <a:blip r:embed="rId9"/>
                    <a:stretch>
                      <a:fillRect/>
                    </a:stretch>
                  </pic:blipFill>
                  <pic:spPr>
                    <a:xfrm>
                      <a:off x="0" y="0"/>
                      <a:ext cx="1188720" cy="713232"/>
                    </a:xfrm>
                    <a:prstGeom prst="rect"/>
                  </pic:spPr>
                </pic:pic>
              </a:graphicData>
            </a:graphic>
          </wp:inline>
        </w:drawing>
      </w:r>
    </w:p>
    <w:p>
      <w:pPr>
        <w:spacing w:after="80"/>
        <w:jc w:val="center"/>
      </w:pPr>
      <w:r>
        <w:rPr>
          <w:b/>
          <w:sz w:val="24"/>
        </w:rPr>
        <w:t>April 2026</w:t>
      </w:r>
    </w:p>
    <w:p>
      <w:pPr>
        <w:spacing w:after="40"/>
        <w:jc w:val="center"/>
      </w:pPr>
      <w:r>
        <w:rPr>
          <w:b/>
          <w:sz w:val="26"/>
        </w:rPr>
        <w:t>DEPARTMENT OF COMPUTER NETWORKING</w:t>
      </w:r>
    </w:p>
    <w:p>
      <w:pPr>
        <w:spacing w:after="40"/>
        <w:jc w:val="center"/>
      </w:pPr>
      <w:r>
        <w:rPr>
          <w:b/>
          <w:sz w:val="28"/>
        </w:rPr>
        <w:t>PSG POLYTECHNIC COLLEGE</w:t>
      </w:r>
    </w:p>
    <w:p>
      <w:pPr>
        <w:spacing w:after="40"/>
        <w:jc w:val="center"/>
      </w:pPr>
      <w:r>
        <w:rPr>
          <w:sz w:val="21"/>
        </w:rPr>
        <w:t>(Autonomous and an ISO 9001 certified Institution)</w:t>
      </w:r>
    </w:p>
    <w:p>
      <w:pPr>
        <w:spacing w:after="240"/>
        <w:jc w:val="center"/>
      </w:pPr>
      <w:r>
        <w:rPr>
          <w:b/>
          <w:sz w:val="24"/>
        </w:rPr>
        <w:t>COIMBATORE – 641 004</w:t>
      </w:r>
    </w:p>
    <w:p>
      <w:r>
        <w:br w:type="page"/>
      </w:r>
    </w:p>
    <w:p>
      <w:pPr>
        <w:spacing w:after="40"/>
        <w:jc w:val="center"/>
      </w:pPr>
      <w:r>
        <w:rPr>
          <w:b/>
          <w:sz w:val="28"/>
        </w:rPr>
        <w:t>PSG POLYTECHNIC COLLEGE</w:t>
      </w:r>
    </w:p>
    <w:p>
      <w:pPr>
        <w:spacing w:after="80"/>
        <w:jc w:val="center"/>
      </w:pPr>
      <w:r>
        <w:rPr>
          <w:sz w:val="21"/>
        </w:rPr>
        <w:t>(Autonomous and ISO 9001:2018 certified Institution)</w:t>
      </w:r>
    </w:p>
    <w:p>
      <w:pPr>
        <w:spacing w:after="40"/>
        <w:jc w:val="center"/>
      </w:pPr>
      <w:r>
        <w:rPr>
          <w:b/>
          <w:sz w:val="24"/>
        </w:rPr>
        <w:t>DEPARTMENT OF COMPUTER NETWORKING</w:t>
      </w:r>
    </w:p>
    <w:p>
      <w:pPr>
        <w:spacing w:after="200"/>
        <w:jc w:val="center"/>
      </w:pPr>
      <w:r>
        <w:rPr>
          <w:b/>
          <w:sz w:val="24"/>
        </w:rPr>
        <w:t>COIMBATORE - 641 004</w:t>
      </w:r>
    </w:p>
    <w:p>
      <w:pPr>
        <w:spacing w:after="240"/>
        <w:jc w:val="center"/>
      </w:pPr>
      <w:r>
        <w:rPr>
          <w:b/>
          <w:sz w:val="28"/>
        </w:rPr>
        <w:t>CERTIFICATE</w:t>
      </w:r>
    </w:p>
    <w:tbl>
      <w:tblPr>
        <w:tblW w:type="auto" w:w="0"/>
        <w:jc w:val="center"/>
        <w:tblLook w:firstColumn="1" w:firstRow="1" w:lastColumn="0" w:lastRow="0" w:noHBand="0" w:noVBand="1" w:val="04A0"/>
      </w:tblPr>
      <w:tblGrid>
        <w:gridCol w:w="4500"/>
        <w:gridCol w:w="4500"/>
      </w:tblGrid>
      <w:tr>
        <w:tc>
          <w:tcPr>
            <w:tcW w:type="dxa" w:w="4608"/>
          </w:tcPr>
          <w:p>
            <w:pPr>
              <w:spacing w:line="276" w:lineRule="auto" w:after="40"/>
              <w:jc w:val="left"/>
            </w:pPr>
            <w:r>
              <w:rPr>
                <w:b/>
                <w:sz w:val="22"/>
              </w:rPr>
              <w:t>MOUNISH V</w:t>
            </w:r>
          </w:p>
        </w:tc>
        <w:tc>
          <w:tcPr>
            <w:tcW w:type="dxa" w:w="2592"/>
          </w:tcPr>
          <w:p>
            <w:pPr>
              <w:spacing w:line="276" w:lineRule="auto" w:after="40"/>
              <w:jc w:val="right"/>
            </w:pPr>
            <w:r>
              <w:rPr>
                <w:b/>
                <w:sz w:val="22"/>
              </w:rPr>
              <w:t>24DC29</w:t>
            </w:r>
          </w:p>
        </w:tc>
      </w:tr>
      <w:tr>
        <w:tc>
          <w:tcPr>
            <w:tcW w:type="dxa" w:w="4608"/>
          </w:tcPr>
          <w:p>
            <w:pPr>
              <w:spacing w:line="276" w:lineRule="auto" w:after="40"/>
              <w:jc w:val="left"/>
            </w:pPr>
            <w:r>
              <w:rPr>
                <w:b/>
                <w:sz w:val="22"/>
              </w:rPr>
              <w:t>NIKIL VARDHAN V</w:t>
            </w:r>
          </w:p>
        </w:tc>
        <w:tc>
          <w:tcPr>
            <w:tcW w:type="dxa" w:w="2592"/>
          </w:tcPr>
          <w:p>
            <w:pPr>
              <w:spacing w:line="276" w:lineRule="auto" w:after="40"/>
              <w:jc w:val="right"/>
            </w:pPr>
            <w:r>
              <w:rPr>
                <w:b/>
                <w:sz w:val="22"/>
              </w:rPr>
              <w:t>24DC33</w:t>
            </w:r>
          </w:p>
        </w:tc>
      </w:tr>
      <w:tr>
        <w:tc>
          <w:tcPr>
            <w:tcW w:type="dxa" w:w="4608"/>
          </w:tcPr>
          <w:p>
            <w:pPr>
              <w:spacing w:line="276" w:lineRule="auto" w:after="40"/>
              <w:jc w:val="left"/>
            </w:pPr>
            <w:r>
              <w:rPr>
                <w:b/>
                <w:sz w:val="22"/>
              </w:rPr>
              <w:t>SHREE RAM SARAN S</w:t>
            </w:r>
          </w:p>
        </w:tc>
        <w:tc>
          <w:tcPr>
            <w:tcW w:type="dxa" w:w="2592"/>
          </w:tcPr>
          <w:p>
            <w:pPr>
              <w:spacing w:line="276" w:lineRule="auto" w:after="40"/>
              <w:jc w:val="right"/>
            </w:pPr>
            <w:r>
              <w:rPr>
                <w:b/>
                <w:sz w:val="22"/>
              </w:rPr>
              <w:t>24DC44</w:t>
            </w:r>
          </w:p>
        </w:tc>
      </w:tr>
      <w:tr>
        <w:tc>
          <w:tcPr>
            <w:tcW w:type="dxa" w:w="4608"/>
          </w:tcPr>
          <w:p>
            <w:pPr>
              <w:spacing w:line="276" w:lineRule="auto" w:after="40"/>
              <w:jc w:val="left"/>
            </w:pPr>
            <w:r>
              <w:rPr>
                <w:b/>
                <w:sz w:val="22"/>
              </w:rPr>
              <w:t>TERREANCE ADRIAN A</w:t>
            </w:r>
          </w:p>
        </w:tc>
        <w:tc>
          <w:tcPr>
            <w:tcW w:type="dxa" w:w="2592"/>
          </w:tcPr>
          <w:p>
            <w:pPr>
              <w:spacing w:line="276" w:lineRule="auto" w:after="40"/>
              <w:jc w:val="right"/>
            </w:pPr>
            <w:r>
              <w:rPr>
                <w:b/>
                <w:sz w:val="22"/>
              </w:rPr>
              <w:t>24DC49</w:t>
            </w:r>
          </w:p>
        </w:tc>
      </w:tr>
      <w:tr>
        <w:tc>
          <w:tcPr>
            <w:tcW w:type="dxa" w:w="4608"/>
          </w:tcPr>
          <w:p>
            <w:pPr>
              <w:spacing w:line="276" w:lineRule="auto" w:after="40"/>
              <w:jc w:val="left"/>
            </w:pPr>
            <w:r>
              <w:rPr>
                <w:b/>
                <w:sz w:val="22"/>
              </w:rPr>
              <w:t>JAYAWANTH J</w:t>
            </w:r>
          </w:p>
        </w:tc>
        <w:tc>
          <w:tcPr>
            <w:tcW w:type="dxa" w:w="2592"/>
          </w:tcPr>
          <w:p>
            <w:pPr>
              <w:spacing w:line="276" w:lineRule="auto" w:after="40"/>
              <w:jc w:val="right"/>
            </w:pPr>
            <w:r>
              <w:rPr>
                <w:b/>
                <w:sz w:val="22"/>
              </w:rPr>
              <w:t>24DCH06</w:t>
            </w:r>
          </w:p>
        </w:tc>
      </w:tr>
    </w:tbl>
    <w:p>
      <w:pPr>
        <w:spacing w:before="280" w:after="120"/>
        <w:jc w:val="center"/>
      </w:pPr>
      <w:r>
        <w:rPr>
          <w:sz w:val="24"/>
        </w:rPr>
        <w:t>This is to certify that the project report entitled</w:t>
      </w:r>
    </w:p>
    <w:p>
      <w:pPr>
        <w:spacing w:after="160"/>
        <w:jc w:val="center"/>
      </w:pPr>
      <w:r>
        <w:rPr>
          <w:b/>
          <w:sz w:val="30"/>
        </w:rPr>
        <w:t>SYNDEX- S</w:t>
      </w:r>
    </w:p>
    <w:p>
      <w:pPr>
        <w:spacing w:after="120"/>
        <w:jc w:val="center"/>
      </w:pPr>
      <w:r>
        <w:rPr>
          <w:sz w:val="24"/>
        </w:rPr>
        <w:t>has been submitted by</w:t>
      </w:r>
    </w:p>
    <w:p>
      <w:pPr>
        <w:spacing w:after="200"/>
        <w:jc w:val="center"/>
      </w:pPr>
      <w:r>
        <w:rPr>
          <w:b/>
          <w:sz w:val="23"/>
        </w:rPr>
        <w:t>MOUNISH V</w:t>
        <w:br/>
        <w:t>NIKIL VARDHAN V</w:t>
        <w:br/>
        <w:t>SHREE RAM SARAN S</w:t>
        <w:br/>
        <w:t>TERREANCE ADRIAN A</w:t>
        <w:br/>
        <w:t>JAYAWANTH J</w:t>
      </w:r>
    </w:p>
    <w:p>
      <w:pPr>
        <w:spacing w:line="360" w:lineRule="auto" w:after="480"/>
        <w:jc w:val="both"/>
      </w:pPr>
      <w:r>
        <w:rPr>
          <w:sz w:val="23"/>
        </w:rPr>
        <w:t>In partial fulfilment of the requirement for the award of DIPLOMA IN COMPUTER NETWORKING Of the State Board of Technical Education, Government of Tamil Nadu, During the academic year of 2025 – 2026.</w:t>
      </w:r>
    </w:p>
    <w:tbl>
      <w:tblPr>
        <w:tblW w:type="auto" w:w="0"/>
        <w:jc w:val="center"/>
        <w:tblLook w:firstColumn="1" w:firstRow="1" w:lastColumn="0" w:lastRow="0" w:noHBand="0" w:noVBand="1" w:val="04A0"/>
      </w:tblPr>
      <w:tblGrid>
        <w:gridCol w:w="4500"/>
        <w:gridCol w:w="4500"/>
      </w:tblGrid>
      <w:tr>
        <w:tc>
          <w:tcPr>
            <w:tcW w:type="dxa" w:w="4500"/>
          </w:tcPr>
          <w:p>
            <w:pPr>
              <w:jc w:val="left"/>
            </w:pPr>
            <w:r>
              <w:rPr>
                <w:b/>
                <w:sz w:val="24"/>
              </w:rPr>
              <w:t>Ms. N SUBHASHINI</w:t>
            </w:r>
          </w:p>
        </w:tc>
        <w:tc>
          <w:tcPr>
            <w:tcW w:type="dxa" w:w="4500"/>
          </w:tcPr>
          <w:p>
            <w:pPr>
              <w:jc w:val="right"/>
            </w:pPr>
            <w:r>
              <w:rPr>
                <w:b/>
                <w:sz w:val="24"/>
              </w:rPr>
              <w:t>Dr. S. Brindha,</w:t>
            </w:r>
          </w:p>
        </w:tc>
      </w:tr>
      <w:tr>
        <w:tc>
          <w:tcPr>
            <w:tcW w:type="dxa" w:w="4500"/>
          </w:tcPr>
          <w:p>
            <w:pPr>
              <w:jc w:val="left"/>
            </w:pPr>
            <w:r>
              <w:rPr>
                <w:sz w:val="22"/>
              </w:rPr>
              <w:t>Faculty Guide</w:t>
            </w:r>
          </w:p>
        </w:tc>
        <w:tc>
          <w:tcPr>
            <w:tcW w:type="dxa" w:w="4500"/>
          </w:tcPr>
          <w:p>
            <w:pPr>
              <w:jc w:val="right"/>
            </w:pPr>
            <w:r>
              <w:rPr>
                <w:sz w:val="22"/>
              </w:rPr>
              <w:t>Head of the Department</w:t>
            </w:r>
          </w:p>
        </w:tc>
      </w:tr>
    </w:tbl>
    <w:p>
      <w:pPr>
        <w:spacing w:before="480" w:after="240"/>
      </w:pPr>
      <w:r>
        <w:rPr>
          <w:color w:val="787878"/>
          <w:sz w:val="16"/>
        </w:rPr>
        <w:t>_________________________________________________________________________________</w:t>
      </w:r>
    </w:p>
    <w:p>
      <w:pPr>
        <w:spacing w:after="600"/>
        <w:jc w:val="both"/>
      </w:pPr>
      <w:r>
        <w:rPr>
          <w:sz w:val="22"/>
        </w:rPr>
        <w:t>Certified that the candidate was examined by us in the completion of the project Viva Voce Examination held on ……………………...</w:t>
      </w:r>
    </w:p>
    <w:tbl>
      <w:tblPr>
        <w:tblW w:type="auto" w:w="0"/>
        <w:jc w:val="center"/>
        <w:tblLook w:firstColumn="1" w:firstRow="1" w:lastColumn="0" w:lastRow="0" w:noHBand="0" w:noVBand="1" w:val="04A0"/>
      </w:tblPr>
      <w:tblGrid>
        <w:gridCol w:w="4500"/>
        <w:gridCol w:w="4500"/>
      </w:tblGrid>
      <w:tr>
        <w:tc>
          <w:tcPr>
            <w:tcW w:type="dxa" w:w="4500"/>
          </w:tcPr>
          <w:p>
            <w:pPr>
              <w:jc w:val="left"/>
            </w:pPr>
            <w:r>
              <w:rPr>
                <w:b/>
                <w:sz w:val="22"/>
              </w:rPr>
              <w:t>Internal Examiner</w:t>
            </w:r>
          </w:p>
        </w:tc>
        <w:tc>
          <w:tcPr>
            <w:tcW w:type="dxa" w:w="4500"/>
          </w:tcPr>
          <w:p>
            <w:pPr>
              <w:jc w:val="right"/>
            </w:pPr>
            <w:r>
              <w:rPr>
                <w:b/>
                <w:sz w:val="22"/>
              </w:rPr>
              <w:t>External Examiner</w:t>
            </w:r>
          </w:p>
        </w:tc>
      </w:tr>
    </w:tbl>
    <w:p>
      <w:r>
        <w:br w:type="page"/>
      </w:r>
    </w:p>
    <w:p>
      <w:pPr>
        <w:spacing w:before="240" w:after="360"/>
        <w:jc w:val="center"/>
      </w:pPr>
      <w:r>
        <w:rPr>
          <w:b/>
          <w:sz w:val="32"/>
        </w:rPr>
        <w:t>ACKNOWLEDGEMENT</w:t>
      </w:r>
    </w:p>
    <w:p>
      <w:pPr>
        <w:spacing w:line="360" w:lineRule="auto" w:after="240"/>
        <w:jc w:val="both"/>
      </w:pPr>
      <w:r>
        <w:rPr>
          <w:sz w:val="24"/>
        </w:rPr>
        <w:t>First, we would like to express our profound gratitude and heartfelt respect to Dr. B. GIRIRAJ, Principal, PSG Polytechnic College, for providing us with the state-of-the-art computational infrastructure, conducive academic atmosphere, and the invaluable opportunity to undertake this research and engineering initiative.</w:t>
      </w:r>
    </w:p>
    <w:p>
      <w:pPr>
        <w:spacing w:line="360" w:lineRule="auto" w:after="240"/>
        <w:jc w:val="both"/>
      </w:pPr>
      <w:r>
        <w:rPr>
          <w:sz w:val="24"/>
        </w:rPr>
        <w:t>We are exceptionally grateful to Dr. S. BRINDHA, Head of the Department, Department of Computer Networking, for her consistent encouragement, strategic vision, technical guidance, and administrative support throughout the development and execution of the SynDx clinical platform.</w:t>
      </w:r>
    </w:p>
    <w:p>
      <w:pPr>
        <w:spacing w:line="360" w:lineRule="auto" w:after="240"/>
        <w:jc w:val="both"/>
      </w:pPr>
      <w:r>
        <w:rPr>
          <w:sz w:val="24"/>
        </w:rPr>
        <w:t>We express our sincere thanks and heartfelt gratitude to our Class Tutor Ms. I. N. SOUNTHARIA, Lecturer (Selection Grade), Department of Computer Networking, for her valuable mentorship, continuous motivation, academic guidance, and constructive suggestions during various phases of this project.</w:t>
      </w:r>
    </w:p>
    <w:p>
      <w:pPr>
        <w:spacing w:line="360" w:lineRule="auto" w:after="240"/>
        <w:jc w:val="both"/>
      </w:pPr>
      <w:r>
        <w:rPr>
          <w:sz w:val="24"/>
        </w:rPr>
        <w:t>We express our deepest sense of gratitude and sincere thanks to our esteemed project Faculty Guide Ms. N. SUBHASHINI, Lecturer, Department of Computer Networking, whose expert technical insights, meticulous reviews, patient advice, and sustained encouragement were instrumental in formulating the offline-first edge architecture, clinical ontologies, and algorithmic pipelines of this dissertation.</w:t>
      </w:r>
    </w:p>
    <w:p>
      <w:pPr>
        <w:spacing w:line="360" w:lineRule="auto" w:after="240"/>
        <w:jc w:val="both"/>
      </w:pPr>
      <w:r>
        <w:rPr>
          <w:sz w:val="24"/>
        </w:rPr>
        <w:t>We also extend our sincere thanks to all the teaching and non-teaching faculty members of the Department of Computer Networking for their direct and indirect cooperation, timely advice, and technical support throughout our course of study.</w:t>
      </w:r>
    </w:p>
    <w:p>
      <w:pPr>
        <w:spacing w:line="360" w:lineRule="auto" w:after="240"/>
        <w:jc w:val="both"/>
      </w:pPr>
      <w:r>
        <w:rPr>
          <w:sz w:val="24"/>
        </w:rPr>
        <w:t>Finally, we wish to express our heartfelt appreciation to our parents, family members, and peers for their continuous moral support, understanding, and unwavering encouragement during the entire period of our project work.</w:t>
      </w:r>
    </w:p>
    <w:p>
      <w:r>
        <w:br w:type="page"/>
      </w:r>
    </w:p>
    <w:p>
      <w:pPr>
        <w:spacing w:before="240" w:after="360"/>
        <w:jc w:val="center"/>
      </w:pPr>
      <w:r>
        <w:rPr>
          <w:b/>
          <w:sz w:val="32"/>
        </w:rPr>
        <w:t>SYNOPSIS</w:t>
      </w:r>
    </w:p>
    <w:p>
      <w:pPr>
        <w:spacing w:line="360" w:lineRule="auto" w:after="240"/>
        <w:jc w:val="both"/>
      </w:pPr>
      <w:r>
        <w:rPr>
          <w:sz w:val="24"/>
        </w:rPr>
        <w:t>The diagnostic odyssey for rare and inborn metabolic disorders remains one of the most formidable public health challenges globally, with patients enduring an average latency of five to seven years, multiple misdiagnoses, and irreversible clinical deterioration. This crisis is critically amplified in rural primary healthcare centers (PHCs) and peripheral dispensaries across developing regions, where specialized geneticists, metabolic pediatricians, and advanced laboratory equipment are completely absent. Compounding this challenge, conventional healthcare machine learning models depend entirely on persistent cloud connectivity, violating data privacy mandates and rendering digital triage completely inoperable in remote, bandwidth-deprived geographies.</w:t>
      </w:r>
    </w:p>
    <w:p>
      <w:pPr>
        <w:spacing w:line="360" w:lineRule="auto" w:after="240"/>
        <w:jc w:val="both"/>
      </w:pPr>
      <w:r>
        <w:rPr>
          <w:sz w:val="24"/>
        </w:rPr>
        <w:t>To decisively resolve this systemic bottleneck, this dissertation presents the design, architectural engineering, and clinical evaluation of SYNDEX-S: an Autonomous Rare Disease Triage and Clinical Decision Intelligence Platform. Engineered natively with an offline-first decentralized architecture, SynDx brings high-precision rare disease intelligence to local edge hardware without requiring internet access or remote API connectivity.</w:t>
      </w:r>
    </w:p>
    <w:p>
      <w:pPr>
        <w:spacing w:line="360" w:lineRule="auto" w:after="240"/>
        <w:jc w:val="both"/>
      </w:pPr>
      <w:r>
        <w:rPr>
          <w:sz w:val="24"/>
        </w:rPr>
        <w:t>The core technical framework of SynDx-S integrates three symbiotic computational pillars: (1) an Edge Machine Learning Diagnostic Engine grounded in the official Orphadata 2026 and NIH Genetic and Rare Diseases (GARD) ontologies, mapping standardized Human Phenotype Ontology (HPO) terms and routine rural clinical laboratory indices using gradient-boosted decision ensembles; (2) an Explainable Artificial Intelligence (XAI) submodule leveraging SHapley Additive exPlanations (SHAP) and Local Interpretable Model-agnostic Explanations (LIME) to provide transparent, quantifiable biomarker contribution scores per prediction, eliminating 'black-box' clinical skepticism; and (3) an Automated Tertiary Facility and Geographic Information System (GIS) Matcher that matches screened patients to appropriate medical colleges based on transit corridors, real-time bed capacity, and specialized clinical departments.</w:t>
      </w:r>
    </w:p>
    <w:p>
      <w:pPr>
        <w:spacing w:line="360" w:lineRule="auto" w:after="240"/>
        <w:jc w:val="both"/>
      </w:pPr>
      <w:r>
        <w:rPr>
          <w:sz w:val="24"/>
        </w:rPr>
        <w:t>In addition, SynDx-S incorporates a deterministic Emergency Clinical Rules Engine that evaluates acute physiological instability (e.g., severe thrombocytopenia, critical hypoxia, hypertensive crisis) prior to machine learning inference, immediately enforcing protocol-driven emergency stabilization. For clinical transparency and compliance, all triage decisions, model versions, and physician determinations are sealed using on-device SHA-256 state hashes and anchored to a Proof-of-Authority (PoA) audit chain without exposing protected health information (PHI). To support cross-institutional knowledge sharing without compromising patient privacy, a decentralized Federated Learning (FedAvg) subsystem with Laplace differential privacy (ε=1.5) was simulated across three rural clinic nodes.</w:t>
      </w:r>
    </w:p>
    <w:p>
      <w:pPr>
        <w:spacing w:line="360" w:lineRule="auto" w:after="240"/>
        <w:jc w:val="both"/>
      </w:pPr>
      <w:r>
        <w:rPr>
          <w:sz w:val="24"/>
        </w:rPr>
        <w:t>Empirical validation conducted on a clinically documented cohort of 185 patients demonstrated that the SynDx edge gradient-boosted ensemble (XGBoost) achieved superior discriminative performance with a Receiver Operating Characteristic Area Under Curve (ROC-AUC) of 0.7875 and a Precision-Recall Area Under Curve (PR-AUC) of 0.9621, outperforming bagging ensembles. The compiled edge inference engine executed in an average latency of 74 milliseconds (&lt;120 ms target) on commodity edge compute hardware. The human-in-the-loop Physician Review Console validated the end-to-end diagnostic workflow across four hallmark rare disease archetypes—Gaucher Disease Type 1, Fabry Disease, Alkaptonuria, and Wilson's Disease—generating authorized, printable Clinical Referral Memorandums and verifiable audit receipts. SynDx-S demonstrates the transformative feasibility of deploying autonomous, privacy-preserving, explainable clinical intelligence at the rural edge.</w:t>
      </w:r>
    </w:p>
    <w:p>
      <w:r>
        <w:br w:type="page"/>
      </w:r>
    </w:p>
    <w:p>
      <w:pPr>
        <w:spacing w:before="240" w:after="320"/>
        <w:jc w:val="center"/>
      </w:pPr>
      <w:r>
        <w:rPr>
          <w:b/>
          <w:sz w:val="32"/>
        </w:rPr>
        <w:t>CONTENTS</w:t>
      </w:r>
    </w:p>
    <w:tbl>
      <w:tblPr>
        <w:tblW w:type="auto" w:w="0"/>
        <w:jc w:val="center"/>
        <w:tblLook w:firstColumn="1" w:firstRow="1" w:lastColumn="0" w:lastRow="0" w:noHBand="0" w:noVBand="1" w:val="04A0"/>
      </w:tblPr>
      <w:tblGrid>
        <w:gridCol w:w="4500"/>
        <w:gridCol w:w="4500"/>
      </w:tblGrid>
      <w:tr>
        <w:tc>
          <w:tcPr>
            <w:tcW w:type="dxa" w:w="6480"/>
          </w:tcPr>
          <w:p>
            <w:pPr>
              <w:jc w:val="left"/>
            </w:pPr>
            <w:r>
              <w:rPr>
                <w:b/>
                <w:sz w:val="26"/>
              </w:rPr>
              <w:t>CHAPTER</w:t>
            </w:r>
          </w:p>
        </w:tc>
        <w:tc>
          <w:tcPr>
            <w:tcW w:type="dxa" w:w="1440"/>
          </w:tcPr>
          <w:p>
            <w:pPr>
              <w:jc w:val="right"/>
            </w:pPr>
            <w:r>
              <w:rPr>
                <w:b/>
                <w:sz w:val="26"/>
              </w:rPr>
              <w:t>Page No.</w:t>
            </w:r>
          </w:p>
        </w:tc>
      </w:tr>
      <w:tr>
        <w:tc>
          <w:tcPr>
            <w:tcW w:type="dxa" w:w="6480"/>
          </w:tcPr>
          <w:p>
            <w:pPr>
              <w:spacing w:line="276" w:lineRule="auto" w:after="40"/>
            </w:pPr>
            <w:r>
              <w:rPr>
                <w:b/>
                <w:sz w:val="22"/>
              </w:rPr>
              <w:t>Acknowledgement</w:t>
            </w:r>
          </w:p>
        </w:tc>
        <w:tc>
          <w:tcPr>
            <w:tcW w:type="dxa" w:w="1440"/>
          </w:tcPr>
          <w:p>
            <w:pPr>
              <w:spacing w:line="276" w:lineRule="auto" w:after="40"/>
              <w:jc w:val="right"/>
            </w:pPr>
            <w:r>
              <w:rPr>
                <w:b/>
                <w:sz w:val="22"/>
              </w:rPr>
              <w:t>(i)</w:t>
            </w:r>
          </w:p>
        </w:tc>
      </w:tr>
      <w:tr>
        <w:tc>
          <w:tcPr>
            <w:tcW w:type="dxa" w:w="6480"/>
          </w:tcPr>
          <w:p>
            <w:pPr>
              <w:spacing w:line="276" w:lineRule="auto" w:after="40"/>
            </w:pPr>
            <w:r>
              <w:rPr>
                <w:b/>
                <w:sz w:val="22"/>
              </w:rPr>
              <w:t>Synopsis</w:t>
            </w:r>
          </w:p>
        </w:tc>
        <w:tc>
          <w:tcPr>
            <w:tcW w:type="dxa" w:w="1440"/>
          </w:tcPr>
          <w:p>
            <w:pPr>
              <w:spacing w:line="276" w:lineRule="auto" w:after="40"/>
              <w:jc w:val="right"/>
            </w:pPr>
            <w:r>
              <w:rPr>
                <w:b/>
                <w:sz w:val="22"/>
              </w:rPr>
              <w:t>(ii)</w:t>
            </w:r>
          </w:p>
        </w:tc>
      </w:tr>
      <w:tr>
        <w:tc>
          <w:tcPr>
            <w:tcW w:type="dxa" w:w="6480"/>
          </w:tcPr>
          <w:p>
            <w:pPr>
              <w:spacing w:line="276" w:lineRule="auto" w:after="40"/>
            </w:pPr>
            <w:r>
              <w:rPr>
                <w:b/>
                <w:sz w:val="22"/>
              </w:rPr>
              <w:t>Contents</w:t>
            </w:r>
          </w:p>
        </w:tc>
        <w:tc>
          <w:tcPr>
            <w:tcW w:type="dxa" w:w="1440"/>
          </w:tcPr>
          <w:p>
            <w:pPr>
              <w:spacing w:line="276" w:lineRule="auto" w:after="40"/>
              <w:jc w:val="right"/>
            </w:pPr>
            <w:r>
              <w:rPr>
                <w:b/>
                <w:sz w:val="22"/>
              </w:rPr>
              <w:t>(iii)</w:t>
            </w:r>
          </w:p>
        </w:tc>
      </w:tr>
      <w:tr>
        <w:tc>
          <w:tcPr>
            <w:tcW w:type="dxa" w:w="6480"/>
          </w:tcPr>
          <w:p>
            <w:pPr>
              <w:spacing w:line="276" w:lineRule="auto" w:after="40"/>
            </w:pPr>
            <w:r>
              <w:rPr>
                <w:b/>
                <w:sz w:val="22"/>
              </w:rPr>
              <w:t>List of Figures</w:t>
            </w:r>
          </w:p>
        </w:tc>
        <w:tc>
          <w:tcPr>
            <w:tcW w:type="dxa" w:w="1440"/>
          </w:tcPr>
          <w:p>
            <w:pPr>
              <w:spacing w:line="276" w:lineRule="auto" w:after="40"/>
              <w:jc w:val="right"/>
            </w:pPr>
            <w:r>
              <w:rPr>
                <w:b/>
                <w:sz w:val="22"/>
              </w:rPr>
              <w:t>(v)</w:t>
            </w:r>
          </w:p>
        </w:tc>
      </w:tr>
      <w:tr>
        <w:tc>
          <w:tcPr>
            <w:tcW w:type="dxa" w:w="6480"/>
          </w:tcPr>
          <w:p>
            <w:pPr>
              <w:spacing w:line="276" w:lineRule="auto" w:after="40"/>
            </w:pPr>
            <w:r>
              <w:rPr>
                <w:b/>
                <w:sz w:val="22"/>
              </w:rPr>
              <w:t>List of Tables</w:t>
            </w:r>
          </w:p>
        </w:tc>
        <w:tc>
          <w:tcPr>
            <w:tcW w:type="dxa" w:w="1440"/>
          </w:tcPr>
          <w:p>
            <w:pPr>
              <w:spacing w:line="276" w:lineRule="auto" w:after="40"/>
              <w:jc w:val="right"/>
            </w:pPr>
            <w:r>
              <w:rPr>
                <w:b/>
                <w:sz w:val="22"/>
              </w:rPr>
              <w:t>(vi)</w:t>
            </w:r>
          </w:p>
        </w:tc>
      </w:tr>
      <w:tr>
        <w:tc>
          <w:tcPr>
            <w:tcW w:type="dxa" w:w="6480"/>
          </w:tcPr>
          <w:p>
            <w:pPr>
              <w:spacing w:line="276" w:lineRule="auto" w:after="40"/>
            </w:pPr>
            <w:r>
              <w:rPr>
                <w:b/>
                <w:sz w:val="22"/>
              </w:rPr>
              <w:t>1. INTRODUCTION</w:t>
            </w:r>
          </w:p>
        </w:tc>
        <w:tc>
          <w:tcPr>
            <w:tcW w:type="dxa" w:w="1440"/>
          </w:tcPr>
          <w:p>
            <w:pPr>
              <w:spacing w:line="276" w:lineRule="auto" w:after="40"/>
              <w:jc w:val="right"/>
            </w:pPr>
            <w:r>
              <w:rPr>
                <w:b/>
                <w:sz w:val="22"/>
              </w:rPr>
              <w:t>01</w:t>
            </w:r>
          </w:p>
        </w:tc>
      </w:tr>
      <w:tr>
        <w:tc>
          <w:tcPr>
            <w:tcW w:type="dxa" w:w="6480"/>
          </w:tcPr>
          <w:p>
            <w:pPr>
              <w:spacing w:line="276" w:lineRule="auto" w:after="40"/>
            </w:pPr>
            <w:r>
              <w:rPr>
                <w:sz w:val="22"/>
              </w:rPr>
              <w:t xml:space="preserve">    1.1 Introduction To Clinical Decision Intelligence And Rare Disease Triage</w:t>
            </w:r>
          </w:p>
        </w:tc>
        <w:tc>
          <w:tcPr>
            <w:tcW w:type="dxa" w:w="1440"/>
          </w:tcPr>
          <w:p>
            <w:pPr>
              <w:spacing w:line="276" w:lineRule="auto" w:after="40"/>
              <w:jc w:val="right"/>
            </w:pPr>
            <w:r>
              <w:rPr>
                <w:sz w:val="22"/>
              </w:rPr>
              <w:t>01</w:t>
            </w:r>
          </w:p>
        </w:tc>
      </w:tr>
      <w:tr>
        <w:tc>
          <w:tcPr>
            <w:tcW w:type="dxa" w:w="6480"/>
          </w:tcPr>
          <w:p>
            <w:pPr>
              <w:spacing w:line="276" w:lineRule="auto" w:after="40"/>
            </w:pPr>
            <w:r>
              <w:rPr>
                <w:sz w:val="22"/>
              </w:rPr>
              <w:t xml:space="preserve">    1.2 Purpose And Motivation Of The Work</w:t>
            </w:r>
          </w:p>
        </w:tc>
        <w:tc>
          <w:tcPr>
            <w:tcW w:type="dxa" w:w="1440"/>
          </w:tcPr>
          <w:p>
            <w:pPr>
              <w:spacing w:line="276" w:lineRule="auto" w:after="40"/>
              <w:jc w:val="right"/>
            </w:pPr>
            <w:r>
              <w:rPr>
                <w:sz w:val="22"/>
              </w:rPr>
              <w:t>03</w:t>
            </w:r>
          </w:p>
        </w:tc>
      </w:tr>
      <w:tr>
        <w:tc>
          <w:tcPr>
            <w:tcW w:type="dxa" w:w="6480"/>
          </w:tcPr>
          <w:p>
            <w:pPr>
              <w:spacing w:line="276" w:lineRule="auto" w:after="40"/>
            </w:pPr>
            <w:r>
              <w:rPr>
                <w:sz w:val="22"/>
              </w:rPr>
              <w:t xml:space="preserve">    1.3 Definition Of The Problem</w:t>
            </w:r>
          </w:p>
        </w:tc>
        <w:tc>
          <w:tcPr>
            <w:tcW w:type="dxa" w:w="1440"/>
          </w:tcPr>
          <w:p>
            <w:pPr>
              <w:spacing w:line="276" w:lineRule="auto" w:after="40"/>
              <w:jc w:val="right"/>
            </w:pPr>
            <w:r>
              <w:rPr>
                <w:sz w:val="22"/>
              </w:rPr>
              <w:t>05</w:t>
            </w:r>
          </w:p>
        </w:tc>
      </w:tr>
      <w:tr>
        <w:tc>
          <w:tcPr>
            <w:tcW w:type="dxa" w:w="6480"/>
          </w:tcPr>
          <w:p>
            <w:pPr>
              <w:spacing w:line="276" w:lineRule="auto" w:after="40"/>
            </w:pPr>
            <w:r>
              <w:rPr>
                <w:sz w:val="22"/>
              </w:rPr>
              <w:t xml:space="preserve">    1.4 Project Boundaries And Scope</w:t>
            </w:r>
          </w:p>
        </w:tc>
        <w:tc>
          <w:tcPr>
            <w:tcW w:type="dxa" w:w="1440"/>
          </w:tcPr>
          <w:p>
            <w:pPr>
              <w:spacing w:line="276" w:lineRule="auto" w:after="40"/>
              <w:jc w:val="right"/>
            </w:pPr>
            <w:r>
              <w:rPr>
                <w:sz w:val="22"/>
              </w:rPr>
              <w:t>07</w:t>
            </w:r>
          </w:p>
        </w:tc>
      </w:tr>
      <w:tr>
        <w:tc>
          <w:tcPr>
            <w:tcW w:type="dxa" w:w="6480"/>
          </w:tcPr>
          <w:p>
            <w:pPr>
              <w:spacing w:line="276" w:lineRule="auto" w:after="40"/>
            </w:pPr>
            <w:r>
              <w:rPr>
                <w:sz w:val="22"/>
              </w:rPr>
              <w:t xml:space="preserve">    1.5 Goals And Intended Outcomes</w:t>
            </w:r>
          </w:p>
        </w:tc>
        <w:tc>
          <w:tcPr>
            <w:tcW w:type="dxa" w:w="1440"/>
          </w:tcPr>
          <w:p>
            <w:pPr>
              <w:spacing w:line="276" w:lineRule="auto" w:after="40"/>
              <w:jc w:val="right"/>
            </w:pPr>
            <w:r>
              <w:rPr>
                <w:sz w:val="22"/>
              </w:rPr>
              <w:t>08</w:t>
            </w:r>
          </w:p>
        </w:tc>
      </w:tr>
      <w:tr>
        <w:tc>
          <w:tcPr>
            <w:tcW w:type="dxa" w:w="6480"/>
          </w:tcPr>
          <w:p>
            <w:pPr>
              <w:spacing w:line="276" w:lineRule="auto" w:after="40"/>
            </w:pPr>
            <w:r>
              <w:rPr>
                <w:sz w:val="22"/>
              </w:rPr>
              <w:t xml:space="preserve">    1.6 Practical Use Cases Of The System</w:t>
            </w:r>
          </w:p>
        </w:tc>
        <w:tc>
          <w:tcPr>
            <w:tcW w:type="dxa" w:w="1440"/>
          </w:tcPr>
          <w:p>
            <w:pPr>
              <w:spacing w:line="276" w:lineRule="auto" w:after="40"/>
              <w:jc w:val="right"/>
            </w:pPr>
            <w:r>
              <w:rPr>
                <w:sz w:val="22"/>
              </w:rPr>
              <w:t>10</w:t>
            </w:r>
          </w:p>
        </w:tc>
      </w:tr>
      <w:tr>
        <w:tc>
          <w:tcPr>
            <w:tcW w:type="dxa" w:w="6480"/>
          </w:tcPr>
          <w:p>
            <w:pPr>
              <w:spacing w:line="276" w:lineRule="auto" w:after="40"/>
            </w:pPr>
            <w:r>
              <w:rPr>
                <w:sz w:val="22"/>
              </w:rPr>
              <w:t xml:space="preserve">    1.7 Overview Of The Report</w:t>
            </w:r>
          </w:p>
        </w:tc>
        <w:tc>
          <w:tcPr>
            <w:tcW w:type="dxa" w:w="1440"/>
          </w:tcPr>
          <w:p>
            <w:pPr>
              <w:spacing w:line="276" w:lineRule="auto" w:after="40"/>
              <w:jc w:val="right"/>
            </w:pPr>
            <w:r>
              <w:rPr>
                <w:sz w:val="22"/>
              </w:rPr>
              <w:t>12</w:t>
            </w:r>
          </w:p>
        </w:tc>
      </w:tr>
      <w:tr>
        <w:tc>
          <w:tcPr>
            <w:tcW w:type="dxa" w:w="6480"/>
          </w:tcPr>
          <w:p>
            <w:pPr>
              <w:spacing w:line="276" w:lineRule="auto" w:after="40"/>
            </w:pPr>
            <w:r>
              <w:rPr>
                <w:b/>
                <w:sz w:val="22"/>
              </w:rPr>
              <w:t>2. LITERATURE SURVEY &amp; CLINICAL ONTOLOGIES</w:t>
            </w:r>
          </w:p>
        </w:tc>
        <w:tc>
          <w:tcPr>
            <w:tcW w:type="dxa" w:w="1440"/>
          </w:tcPr>
          <w:p>
            <w:pPr>
              <w:spacing w:line="276" w:lineRule="auto" w:after="40"/>
              <w:jc w:val="right"/>
            </w:pPr>
            <w:r>
              <w:rPr>
                <w:b/>
                <w:sz w:val="22"/>
              </w:rPr>
              <w:t>14</w:t>
            </w:r>
          </w:p>
        </w:tc>
      </w:tr>
      <w:tr>
        <w:tc>
          <w:tcPr>
            <w:tcW w:type="dxa" w:w="6480"/>
          </w:tcPr>
          <w:p>
            <w:pPr>
              <w:spacing w:line="276" w:lineRule="auto" w:after="40"/>
            </w:pPr>
            <w:r>
              <w:rPr>
                <w:sz w:val="22"/>
              </w:rPr>
              <w:t xml:space="preserve">    2.1 Clinical Landscape Of Rare Genetic Diseases</w:t>
            </w:r>
          </w:p>
        </w:tc>
        <w:tc>
          <w:tcPr>
            <w:tcW w:type="dxa" w:w="1440"/>
          </w:tcPr>
          <w:p>
            <w:pPr>
              <w:spacing w:line="276" w:lineRule="auto" w:after="40"/>
              <w:jc w:val="right"/>
            </w:pPr>
            <w:r>
              <w:rPr>
                <w:sz w:val="22"/>
              </w:rPr>
              <w:t>14</w:t>
            </w:r>
          </w:p>
        </w:tc>
      </w:tr>
      <w:tr>
        <w:tc>
          <w:tcPr>
            <w:tcW w:type="dxa" w:w="6480"/>
          </w:tcPr>
          <w:p>
            <w:pPr>
              <w:spacing w:line="276" w:lineRule="auto" w:after="40"/>
            </w:pPr>
            <w:r>
              <w:rPr>
                <w:sz w:val="22"/>
              </w:rPr>
              <w:t xml:space="preserve">    2.2 Ontological Standards: Orphadata 2026 And NIH GARD</w:t>
            </w:r>
          </w:p>
        </w:tc>
        <w:tc>
          <w:tcPr>
            <w:tcW w:type="dxa" w:w="1440"/>
          </w:tcPr>
          <w:p>
            <w:pPr>
              <w:spacing w:line="276" w:lineRule="auto" w:after="40"/>
              <w:jc w:val="right"/>
            </w:pPr>
            <w:r>
              <w:rPr>
                <w:sz w:val="22"/>
              </w:rPr>
              <w:t>16</w:t>
            </w:r>
          </w:p>
        </w:tc>
      </w:tr>
      <w:tr>
        <w:tc>
          <w:tcPr>
            <w:tcW w:type="dxa" w:w="6480"/>
          </w:tcPr>
          <w:p>
            <w:pPr>
              <w:spacing w:line="276" w:lineRule="auto" w:after="40"/>
            </w:pPr>
            <w:r>
              <w:rPr>
                <w:sz w:val="22"/>
              </w:rPr>
              <w:t xml:space="preserve">    2.3 Human Phenotype Ontology (HPO) &amp; Standardized Phenotyping</w:t>
            </w:r>
          </w:p>
        </w:tc>
        <w:tc>
          <w:tcPr>
            <w:tcW w:type="dxa" w:w="1440"/>
          </w:tcPr>
          <w:p>
            <w:pPr>
              <w:spacing w:line="276" w:lineRule="auto" w:after="40"/>
              <w:jc w:val="right"/>
            </w:pPr>
            <w:r>
              <w:rPr>
                <w:sz w:val="22"/>
              </w:rPr>
              <w:t>18</w:t>
            </w:r>
          </w:p>
        </w:tc>
      </w:tr>
      <w:tr>
        <w:tc>
          <w:tcPr>
            <w:tcW w:type="dxa" w:w="6480"/>
          </w:tcPr>
          <w:p>
            <w:pPr>
              <w:spacing w:line="276" w:lineRule="auto" w:after="40"/>
            </w:pPr>
            <w:r>
              <w:rPr>
                <w:sz w:val="22"/>
              </w:rPr>
              <w:t xml:space="preserve">    2.4 Survey Of Edge AI And Offline Machine Learning In Healthcare</w:t>
            </w:r>
          </w:p>
        </w:tc>
        <w:tc>
          <w:tcPr>
            <w:tcW w:type="dxa" w:w="1440"/>
          </w:tcPr>
          <w:p>
            <w:pPr>
              <w:spacing w:line="276" w:lineRule="auto" w:after="40"/>
              <w:jc w:val="right"/>
            </w:pPr>
            <w:r>
              <w:rPr>
                <w:sz w:val="22"/>
              </w:rPr>
              <w:t>20</w:t>
            </w:r>
          </w:p>
        </w:tc>
      </w:tr>
      <w:tr>
        <w:tc>
          <w:tcPr>
            <w:tcW w:type="dxa" w:w="6480"/>
          </w:tcPr>
          <w:p>
            <w:pPr>
              <w:spacing w:line="276" w:lineRule="auto" w:after="40"/>
            </w:pPr>
            <w:r>
              <w:rPr>
                <w:sz w:val="22"/>
              </w:rPr>
              <w:t xml:space="preserve">    2.5 Explainable AI (XAI) In Medical Decision Support: SHAP And LIME</w:t>
            </w:r>
          </w:p>
        </w:tc>
        <w:tc>
          <w:tcPr>
            <w:tcW w:type="dxa" w:w="1440"/>
          </w:tcPr>
          <w:p>
            <w:pPr>
              <w:spacing w:line="276" w:lineRule="auto" w:after="40"/>
              <w:jc w:val="right"/>
            </w:pPr>
            <w:r>
              <w:rPr>
                <w:sz w:val="22"/>
              </w:rPr>
              <w:t>22</w:t>
            </w:r>
          </w:p>
        </w:tc>
      </w:tr>
      <w:tr>
        <w:tc>
          <w:tcPr>
            <w:tcW w:type="dxa" w:w="6480"/>
          </w:tcPr>
          <w:p>
            <w:pPr>
              <w:spacing w:line="276" w:lineRule="auto" w:after="40"/>
            </w:pPr>
            <w:r>
              <w:rPr>
                <w:sz w:val="22"/>
              </w:rPr>
              <w:t xml:space="preserve">    2.6 Cryptographic Auditing And Zero-Trust Healthcare Ledgers</w:t>
            </w:r>
          </w:p>
        </w:tc>
        <w:tc>
          <w:tcPr>
            <w:tcW w:type="dxa" w:w="1440"/>
          </w:tcPr>
          <w:p>
            <w:pPr>
              <w:spacing w:line="276" w:lineRule="auto" w:after="40"/>
              <w:jc w:val="right"/>
            </w:pPr>
            <w:r>
              <w:rPr>
                <w:sz w:val="22"/>
              </w:rPr>
              <w:t>24</w:t>
            </w:r>
          </w:p>
        </w:tc>
      </w:tr>
      <w:tr>
        <w:tc>
          <w:tcPr>
            <w:tcW w:type="dxa" w:w="6480"/>
          </w:tcPr>
          <w:p>
            <w:pPr>
              <w:spacing w:line="276" w:lineRule="auto" w:after="40"/>
            </w:pPr>
            <w:r>
              <w:rPr>
                <w:sz w:val="22"/>
              </w:rPr>
              <w:t xml:space="preserve">    2.7 Federated Learning And Privacy-Preserving Computing</w:t>
            </w:r>
          </w:p>
        </w:tc>
        <w:tc>
          <w:tcPr>
            <w:tcW w:type="dxa" w:w="1440"/>
          </w:tcPr>
          <w:p>
            <w:pPr>
              <w:spacing w:line="276" w:lineRule="auto" w:after="40"/>
              <w:jc w:val="right"/>
            </w:pPr>
            <w:r>
              <w:rPr>
                <w:sz w:val="22"/>
              </w:rPr>
              <w:t>26</w:t>
            </w:r>
          </w:p>
        </w:tc>
      </w:tr>
      <w:tr>
        <w:tc>
          <w:tcPr>
            <w:tcW w:type="dxa" w:w="6480"/>
          </w:tcPr>
          <w:p>
            <w:pPr>
              <w:spacing w:line="276" w:lineRule="auto" w:after="40"/>
            </w:pPr>
            <w:r>
              <w:rPr>
                <w:sz w:val="22"/>
              </w:rPr>
              <w:t xml:space="preserve">    2.8 Comparative Analysis Of Existing Healthcare Triage Systems</w:t>
            </w:r>
          </w:p>
        </w:tc>
        <w:tc>
          <w:tcPr>
            <w:tcW w:type="dxa" w:w="1440"/>
          </w:tcPr>
          <w:p>
            <w:pPr>
              <w:spacing w:line="276" w:lineRule="auto" w:after="40"/>
              <w:jc w:val="right"/>
            </w:pPr>
            <w:r>
              <w:rPr>
                <w:sz w:val="22"/>
              </w:rPr>
              <w:t>27</w:t>
            </w:r>
          </w:p>
        </w:tc>
      </w:tr>
      <w:tr>
        <w:tc>
          <w:tcPr>
            <w:tcW w:type="dxa" w:w="6480"/>
          </w:tcPr>
          <w:p>
            <w:pPr>
              <w:spacing w:line="276" w:lineRule="auto" w:after="40"/>
            </w:pPr>
            <w:r>
              <w:rPr>
                <w:b/>
                <w:sz w:val="22"/>
              </w:rPr>
              <w:t>3. SYSTEM DESIGN AND METHODOLOGY</w:t>
            </w:r>
          </w:p>
        </w:tc>
        <w:tc>
          <w:tcPr>
            <w:tcW w:type="dxa" w:w="1440"/>
          </w:tcPr>
          <w:p>
            <w:pPr>
              <w:spacing w:line="276" w:lineRule="auto" w:after="40"/>
              <w:jc w:val="right"/>
            </w:pPr>
            <w:r>
              <w:rPr>
                <w:b/>
                <w:sz w:val="22"/>
              </w:rPr>
              <w:t>29</w:t>
            </w:r>
          </w:p>
        </w:tc>
      </w:tr>
      <w:tr>
        <w:tc>
          <w:tcPr>
            <w:tcW w:type="dxa" w:w="6480"/>
          </w:tcPr>
          <w:p>
            <w:pPr>
              <w:spacing w:line="276" w:lineRule="auto" w:after="40"/>
            </w:pPr>
            <w:r>
              <w:rPr>
                <w:sz w:val="22"/>
              </w:rPr>
              <w:t xml:space="preserve">    3.1 Development Tools And Software Stack</w:t>
            </w:r>
          </w:p>
        </w:tc>
        <w:tc>
          <w:tcPr>
            <w:tcW w:type="dxa" w:w="1440"/>
          </w:tcPr>
          <w:p>
            <w:pPr>
              <w:spacing w:line="276" w:lineRule="auto" w:after="40"/>
              <w:jc w:val="right"/>
            </w:pPr>
            <w:r>
              <w:rPr>
                <w:sz w:val="22"/>
              </w:rPr>
              <w:t>29</w:t>
            </w:r>
          </w:p>
        </w:tc>
      </w:tr>
      <w:tr>
        <w:tc>
          <w:tcPr>
            <w:tcW w:type="dxa" w:w="6480"/>
          </w:tcPr>
          <w:p>
            <w:pPr>
              <w:spacing w:line="276" w:lineRule="auto" w:after="40"/>
            </w:pPr>
            <w:r>
              <w:rPr>
                <w:sz w:val="22"/>
              </w:rPr>
              <w:t xml:space="preserve">    3.2 Overall System Architecture And Offline-First Pipeline</w:t>
            </w:r>
          </w:p>
        </w:tc>
        <w:tc>
          <w:tcPr>
            <w:tcW w:type="dxa" w:w="1440"/>
          </w:tcPr>
          <w:p>
            <w:pPr>
              <w:spacing w:line="276" w:lineRule="auto" w:after="40"/>
              <w:jc w:val="right"/>
            </w:pPr>
            <w:r>
              <w:rPr>
                <w:sz w:val="22"/>
              </w:rPr>
              <w:t>31</w:t>
            </w:r>
          </w:p>
        </w:tc>
      </w:tr>
      <w:tr>
        <w:tc>
          <w:tcPr>
            <w:tcW w:type="dxa" w:w="6480"/>
          </w:tcPr>
          <w:p>
            <w:pPr>
              <w:spacing w:line="276" w:lineRule="auto" w:after="40"/>
            </w:pPr>
            <w:r>
              <w:rPr>
                <w:sz w:val="22"/>
              </w:rPr>
              <w:t xml:space="preserve">    3.3 Four-Step Clinical Diagnostic Workflow Architecture</w:t>
            </w:r>
          </w:p>
        </w:tc>
        <w:tc>
          <w:tcPr>
            <w:tcW w:type="dxa" w:w="1440"/>
          </w:tcPr>
          <w:p>
            <w:pPr>
              <w:spacing w:line="276" w:lineRule="auto" w:after="40"/>
              <w:jc w:val="right"/>
            </w:pPr>
            <w:r>
              <w:rPr>
                <w:sz w:val="22"/>
              </w:rPr>
              <w:t>34</w:t>
            </w:r>
          </w:p>
        </w:tc>
      </w:tr>
      <w:tr>
        <w:tc>
          <w:tcPr>
            <w:tcW w:type="dxa" w:w="6480"/>
          </w:tcPr>
          <w:p>
            <w:pPr>
              <w:spacing w:line="276" w:lineRule="auto" w:after="40"/>
            </w:pPr>
            <w:r>
              <w:rPr>
                <w:sz w:val="22"/>
              </w:rPr>
              <w:t xml:space="preserve">    3.4 Edge Machine Learning Engine &amp; Phenotypic Classification Model</w:t>
            </w:r>
          </w:p>
        </w:tc>
        <w:tc>
          <w:tcPr>
            <w:tcW w:type="dxa" w:w="1440"/>
          </w:tcPr>
          <w:p>
            <w:pPr>
              <w:spacing w:line="276" w:lineRule="auto" w:after="40"/>
              <w:jc w:val="right"/>
            </w:pPr>
            <w:r>
              <w:rPr>
                <w:sz w:val="22"/>
              </w:rPr>
              <w:t>36</w:t>
            </w:r>
          </w:p>
        </w:tc>
      </w:tr>
      <w:tr>
        <w:tc>
          <w:tcPr>
            <w:tcW w:type="dxa" w:w="6480"/>
          </w:tcPr>
          <w:p>
            <w:pPr>
              <w:spacing w:line="276" w:lineRule="auto" w:after="40"/>
            </w:pPr>
            <w:r>
              <w:rPr>
                <w:sz w:val="22"/>
              </w:rPr>
              <w:t xml:space="preserve">    3.5 Deterministic Clinical Emergency Interlock Rules Engine</w:t>
            </w:r>
          </w:p>
        </w:tc>
        <w:tc>
          <w:tcPr>
            <w:tcW w:type="dxa" w:w="1440"/>
          </w:tcPr>
          <w:p>
            <w:pPr>
              <w:spacing w:line="276" w:lineRule="auto" w:after="40"/>
              <w:jc w:val="right"/>
            </w:pPr>
            <w:r>
              <w:rPr>
                <w:sz w:val="22"/>
              </w:rPr>
              <w:t>38</w:t>
            </w:r>
          </w:p>
        </w:tc>
      </w:tr>
      <w:tr>
        <w:tc>
          <w:tcPr>
            <w:tcW w:type="dxa" w:w="6480"/>
          </w:tcPr>
          <w:p>
            <w:pPr>
              <w:spacing w:line="276" w:lineRule="auto" w:after="40"/>
            </w:pPr>
            <w:r>
              <w:rPr>
                <w:sz w:val="22"/>
              </w:rPr>
              <w:t xml:space="preserve">    3.6 Automated Specialist Facility Matching And Routing Algorithm</w:t>
            </w:r>
          </w:p>
        </w:tc>
        <w:tc>
          <w:tcPr>
            <w:tcW w:type="dxa" w:w="1440"/>
          </w:tcPr>
          <w:p>
            <w:pPr>
              <w:spacing w:line="276" w:lineRule="auto" w:after="40"/>
              <w:jc w:val="right"/>
            </w:pPr>
            <w:r>
              <w:rPr>
                <w:sz w:val="22"/>
              </w:rPr>
              <w:t>40</w:t>
            </w:r>
          </w:p>
        </w:tc>
      </w:tr>
      <w:tr>
        <w:tc>
          <w:tcPr>
            <w:tcW w:type="dxa" w:w="6480"/>
          </w:tcPr>
          <w:p>
            <w:pPr>
              <w:spacing w:line="276" w:lineRule="auto" w:after="40"/>
            </w:pPr>
            <w:r>
              <w:rPr>
                <w:sz w:val="22"/>
              </w:rPr>
              <w:t xml:space="preserve">    3.7 Proof-Of-Authority Blockchain Audit Trail Mechanism</w:t>
            </w:r>
          </w:p>
        </w:tc>
        <w:tc>
          <w:tcPr>
            <w:tcW w:type="dxa" w:w="1440"/>
          </w:tcPr>
          <w:p>
            <w:pPr>
              <w:spacing w:line="276" w:lineRule="auto" w:after="40"/>
              <w:jc w:val="right"/>
            </w:pPr>
            <w:r>
              <w:rPr>
                <w:sz w:val="22"/>
              </w:rPr>
              <w:t>42</w:t>
            </w:r>
          </w:p>
        </w:tc>
      </w:tr>
      <w:tr>
        <w:tc>
          <w:tcPr>
            <w:tcW w:type="dxa" w:w="6480"/>
          </w:tcPr>
          <w:p>
            <w:pPr>
              <w:spacing w:line="276" w:lineRule="auto" w:after="40"/>
            </w:pPr>
            <w:r>
              <w:rPr>
                <w:sz w:val="22"/>
              </w:rPr>
              <w:t xml:space="preserve">    3.8 Decentralized Federated Learning Simulation Architecture</w:t>
            </w:r>
          </w:p>
        </w:tc>
        <w:tc>
          <w:tcPr>
            <w:tcW w:type="dxa" w:w="1440"/>
          </w:tcPr>
          <w:p>
            <w:pPr>
              <w:spacing w:line="276" w:lineRule="auto" w:after="40"/>
              <w:jc w:val="right"/>
            </w:pPr>
            <w:r>
              <w:rPr>
                <w:sz w:val="22"/>
              </w:rPr>
              <w:t>44</w:t>
            </w:r>
          </w:p>
        </w:tc>
      </w:tr>
      <w:tr>
        <w:tc>
          <w:tcPr>
            <w:tcW w:type="dxa" w:w="6480"/>
          </w:tcPr>
          <w:p>
            <w:pPr>
              <w:spacing w:line="276" w:lineRule="auto" w:after="40"/>
            </w:pPr>
            <w:r>
              <w:rPr>
                <w:b/>
                <w:sz w:val="22"/>
              </w:rPr>
              <w:t>4. DEVELOPMENT AND IMPLEMENTATION</w:t>
            </w:r>
          </w:p>
        </w:tc>
        <w:tc>
          <w:tcPr>
            <w:tcW w:type="dxa" w:w="1440"/>
          </w:tcPr>
          <w:p>
            <w:pPr>
              <w:spacing w:line="276" w:lineRule="auto" w:after="40"/>
              <w:jc w:val="right"/>
            </w:pPr>
            <w:r>
              <w:rPr>
                <w:b/>
                <w:sz w:val="22"/>
              </w:rPr>
              <w:t>46</w:t>
            </w:r>
          </w:p>
        </w:tc>
      </w:tr>
      <w:tr>
        <w:tc>
          <w:tcPr>
            <w:tcW w:type="dxa" w:w="6480"/>
          </w:tcPr>
          <w:p>
            <w:pPr>
              <w:spacing w:line="276" w:lineRule="auto" w:after="40"/>
            </w:pPr>
            <w:r>
              <w:rPr>
                <w:sz w:val="22"/>
              </w:rPr>
              <w:t xml:space="preserve">    4.1 Development Environment And Project Configuration</w:t>
            </w:r>
          </w:p>
        </w:tc>
        <w:tc>
          <w:tcPr>
            <w:tcW w:type="dxa" w:w="1440"/>
          </w:tcPr>
          <w:p>
            <w:pPr>
              <w:spacing w:line="276" w:lineRule="auto" w:after="40"/>
              <w:jc w:val="right"/>
            </w:pPr>
            <w:r>
              <w:rPr>
                <w:sz w:val="22"/>
              </w:rPr>
              <w:t>46</w:t>
            </w:r>
          </w:p>
        </w:tc>
      </w:tr>
      <w:tr>
        <w:tc>
          <w:tcPr>
            <w:tcW w:type="dxa" w:w="6480"/>
          </w:tcPr>
          <w:p>
            <w:pPr>
              <w:spacing w:line="276" w:lineRule="auto" w:after="40"/>
            </w:pPr>
            <w:r>
              <w:rPr>
                <w:sz w:val="22"/>
              </w:rPr>
              <w:t xml:space="preserve">    4.2 Clinical Dataset Ingestion, Preprocessing, And Provenance</w:t>
            </w:r>
          </w:p>
        </w:tc>
        <w:tc>
          <w:tcPr>
            <w:tcW w:type="dxa" w:w="1440"/>
          </w:tcPr>
          <w:p>
            <w:pPr>
              <w:spacing w:line="276" w:lineRule="auto" w:after="40"/>
              <w:jc w:val="right"/>
            </w:pPr>
            <w:r>
              <w:rPr>
                <w:sz w:val="22"/>
              </w:rPr>
              <w:t>47</w:t>
            </w:r>
          </w:p>
        </w:tc>
      </w:tr>
      <w:tr>
        <w:tc>
          <w:tcPr>
            <w:tcW w:type="dxa" w:w="6480"/>
          </w:tcPr>
          <w:p>
            <w:pPr>
              <w:spacing w:line="276" w:lineRule="auto" w:after="40"/>
            </w:pPr>
            <w:r>
              <w:rPr>
                <w:sz w:val="22"/>
              </w:rPr>
              <w:t xml:space="preserve">    4.3 Supervised Model Training And Clinical Pipeline Optimization</w:t>
            </w:r>
          </w:p>
        </w:tc>
        <w:tc>
          <w:tcPr>
            <w:tcW w:type="dxa" w:w="1440"/>
          </w:tcPr>
          <w:p>
            <w:pPr>
              <w:spacing w:line="276" w:lineRule="auto" w:after="40"/>
              <w:jc w:val="right"/>
            </w:pPr>
            <w:r>
              <w:rPr>
                <w:sz w:val="22"/>
              </w:rPr>
              <w:t>49</w:t>
            </w:r>
          </w:p>
        </w:tc>
      </w:tr>
      <w:tr>
        <w:tc>
          <w:tcPr>
            <w:tcW w:type="dxa" w:w="6480"/>
          </w:tcPr>
          <w:p>
            <w:pPr>
              <w:spacing w:line="276" w:lineRule="auto" w:after="40"/>
            </w:pPr>
            <w:r>
              <w:rPr>
                <w:sz w:val="22"/>
              </w:rPr>
              <w:t xml:space="preserve">    4.4 SQLite Clinical Persistence And Local Ledger Backend</w:t>
            </w:r>
          </w:p>
        </w:tc>
        <w:tc>
          <w:tcPr>
            <w:tcW w:type="dxa" w:w="1440"/>
          </w:tcPr>
          <w:p>
            <w:pPr>
              <w:spacing w:line="276" w:lineRule="auto" w:after="40"/>
              <w:jc w:val="right"/>
            </w:pPr>
            <w:r>
              <w:rPr>
                <w:sz w:val="22"/>
              </w:rPr>
              <w:t>51</w:t>
            </w:r>
          </w:p>
        </w:tc>
      </w:tr>
      <w:tr>
        <w:tc>
          <w:tcPr>
            <w:tcW w:type="dxa" w:w="6480"/>
          </w:tcPr>
          <w:p>
            <w:pPr>
              <w:spacing w:line="276" w:lineRule="auto" w:after="40"/>
            </w:pPr>
            <w:r>
              <w:rPr>
                <w:sz w:val="22"/>
              </w:rPr>
              <w:t xml:space="preserve">    4.5 User Interface Implementation: Liquid Glassmorphism And Lucide</w:t>
            </w:r>
          </w:p>
        </w:tc>
        <w:tc>
          <w:tcPr>
            <w:tcW w:type="dxa" w:w="1440"/>
          </w:tcPr>
          <w:p>
            <w:pPr>
              <w:spacing w:line="276" w:lineRule="auto" w:after="40"/>
              <w:jc w:val="right"/>
            </w:pPr>
            <w:r>
              <w:rPr>
                <w:sz w:val="22"/>
              </w:rPr>
              <w:t>53</w:t>
            </w:r>
          </w:p>
        </w:tc>
      </w:tr>
      <w:tr>
        <w:tc>
          <w:tcPr>
            <w:tcW w:type="dxa" w:w="6480"/>
          </w:tcPr>
          <w:p>
            <w:pPr>
              <w:spacing w:line="276" w:lineRule="auto" w:after="40"/>
            </w:pPr>
            <w:r>
              <w:rPr>
                <w:sz w:val="22"/>
              </w:rPr>
              <w:t xml:space="preserve">    4.6 Four-Step Clinical Diagnostic Workflow Implementation</w:t>
            </w:r>
          </w:p>
        </w:tc>
        <w:tc>
          <w:tcPr>
            <w:tcW w:type="dxa" w:w="1440"/>
          </w:tcPr>
          <w:p>
            <w:pPr>
              <w:spacing w:line="276" w:lineRule="auto" w:after="40"/>
              <w:jc w:val="right"/>
            </w:pPr>
            <w:r>
              <w:rPr>
                <w:sz w:val="22"/>
              </w:rPr>
              <w:t>55</w:t>
            </w:r>
          </w:p>
        </w:tc>
      </w:tr>
      <w:tr>
        <w:tc>
          <w:tcPr>
            <w:tcW w:type="dxa" w:w="6480"/>
          </w:tcPr>
          <w:p>
            <w:pPr>
              <w:spacing w:line="276" w:lineRule="auto" w:after="40"/>
            </w:pPr>
            <w:r>
              <w:rPr>
                <w:sz w:val="22"/>
              </w:rPr>
              <w:t xml:space="preserve">    4.7 Official Specialist Referral Authorization Memorandum Generation</w:t>
            </w:r>
          </w:p>
        </w:tc>
        <w:tc>
          <w:tcPr>
            <w:tcW w:type="dxa" w:w="1440"/>
          </w:tcPr>
          <w:p>
            <w:pPr>
              <w:spacing w:line="276" w:lineRule="auto" w:after="40"/>
              <w:jc w:val="right"/>
            </w:pPr>
            <w:r>
              <w:rPr>
                <w:sz w:val="22"/>
              </w:rPr>
              <w:t>57</w:t>
            </w:r>
          </w:p>
        </w:tc>
      </w:tr>
      <w:tr>
        <w:tc>
          <w:tcPr>
            <w:tcW w:type="dxa" w:w="6480"/>
          </w:tcPr>
          <w:p>
            <w:pPr>
              <w:spacing w:line="276" w:lineRule="auto" w:after="40"/>
            </w:pPr>
            <w:r>
              <w:rPr>
                <w:sz w:val="22"/>
              </w:rPr>
              <w:t xml:space="preserve">    4.8 Offline GIS Route Navigation And Emergency Triage Network</w:t>
            </w:r>
          </w:p>
        </w:tc>
        <w:tc>
          <w:tcPr>
            <w:tcW w:type="dxa" w:w="1440"/>
          </w:tcPr>
          <w:p>
            <w:pPr>
              <w:spacing w:line="276" w:lineRule="auto" w:after="40"/>
              <w:jc w:val="right"/>
            </w:pPr>
            <w:r>
              <w:rPr>
                <w:sz w:val="22"/>
              </w:rPr>
              <w:t>59</w:t>
            </w:r>
          </w:p>
        </w:tc>
      </w:tr>
      <w:tr>
        <w:tc>
          <w:tcPr>
            <w:tcW w:type="dxa" w:w="6480"/>
          </w:tcPr>
          <w:p>
            <w:pPr>
              <w:spacing w:line="276" w:lineRule="auto" w:after="40"/>
            </w:pPr>
            <w:r>
              <w:rPr>
                <w:sz w:val="22"/>
              </w:rPr>
              <w:t xml:space="preserve">    4.9 Doctor Console And Human-In-The-Loop Triage Review Implementation</w:t>
            </w:r>
          </w:p>
        </w:tc>
        <w:tc>
          <w:tcPr>
            <w:tcW w:type="dxa" w:w="1440"/>
          </w:tcPr>
          <w:p>
            <w:pPr>
              <w:spacing w:line="276" w:lineRule="auto" w:after="40"/>
              <w:jc w:val="right"/>
            </w:pPr>
            <w:r>
              <w:rPr>
                <w:sz w:val="22"/>
              </w:rPr>
              <w:t>61</w:t>
            </w:r>
          </w:p>
        </w:tc>
      </w:tr>
      <w:tr>
        <w:tc>
          <w:tcPr>
            <w:tcW w:type="dxa" w:w="6480"/>
          </w:tcPr>
          <w:p>
            <w:pPr>
              <w:spacing w:line="276" w:lineRule="auto" w:after="40"/>
            </w:pPr>
            <w:r>
              <w:rPr>
                <w:sz w:val="22"/>
              </w:rPr>
              <w:t xml:space="preserve">    4.10 Testing, Debugging, And Quality Assurance Protocols</w:t>
            </w:r>
          </w:p>
        </w:tc>
        <w:tc>
          <w:tcPr>
            <w:tcW w:type="dxa" w:w="1440"/>
          </w:tcPr>
          <w:p>
            <w:pPr>
              <w:spacing w:line="276" w:lineRule="auto" w:after="40"/>
              <w:jc w:val="right"/>
            </w:pPr>
            <w:r>
              <w:rPr>
                <w:sz w:val="22"/>
              </w:rPr>
              <w:t>63</w:t>
            </w:r>
          </w:p>
        </w:tc>
      </w:tr>
      <w:tr>
        <w:tc>
          <w:tcPr>
            <w:tcW w:type="dxa" w:w="6480"/>
          </w:tcPr>
          <w:p>
            <w:pPr>
              <w:spacing w:line="276" w:lineRule="auto" w:after="40"/>
            </w:pPr>
            <w:r>
              <w:rPr>
                <w:b/>
                <w:sz w:val="22"/>
              </w:rPr>
              <w:t>5. RESULTS AND CLINICAL EVALUATION</w:t>
            </w:r>
          </w:p>
        </w:tc>
        <w:tc>
          <w:tcPr>
            <w:tcW w:type="dxa" w:w="1440"/>
          </w:tcPr>
          <w:p>
            <w:pPr>
              <w:spacing w:line="276" w:lineRule="auto" w:after="40"/>
              <w:jc w:val="right"/>
            </w:pPr>
            <w:r>
              <w:rPr>
                <w:b/>
                <w:sz w:val="22"/>
              </w:rPr>
              <w:t>65</w:t>
            </w:r>
          </w:p>
        </w:tc>
      </w:tr>
      <w:tr>
        <w:tc>
          <w:tcPr>
            <w:tcW w:type="dxa" w:w="6480"/>
          </w:tcPr>
          <w:p>
            <w:pPr>
              <w:spacing w:line="276" w:lineRule="auto" w:after="40"/>
            </w:pPr>
            <w:r>
              <w:rPr>
                <w:sz w:val="22"/>
              </w:rPr>
              <w:t xml:space="preserve">    5.1 Overview Of System Evaluation</w:t>
            </w:r>
          </w:p>
        </w:tc>
        <w:tc>
          <w:tcPr>
            <w:tcW w:type="dxa" w:w="1440"/>
          </w:tcPr>
          <w:p>
            <w:pPr>
              <w:spacing w:line="276" w:lineRule="auto" w:after="40"/>
              <w:jc w:val="right"/>
            </w:pPr>
            <w:r>
              <w:rPr>
                <w:sz w:val="22"/>
              </w:rPr>
              <w:t>65</w:t>
            </w:r>
          </w:p>
        </w:tc>
      </w:tr>
      <w:tr>
        <w:tc>
          <w:tcPr>
            <w:tcW w:type="dxa" w:w="6480"/>
          </w:tcPr>
          <w:p>
            <w:pPr>
              <w:spacing w:line="276" w:lineRule="auto" w:after="40"/>
            </w:pPr>
            <w:r>
              <w:rPr>
                <w:sz w:val="22"/>
              </w:rPr>
              <w:t xml:space="preserve">    5.2 Model Performance And Cross-Model Benchmarks</w:t>
            </w:r>
          </w:p>
        </w:tc>
        <w:tc>
          <w:tcPr>
            <w:tcW w:type="dxa" w:w="1440"/>
          </w:tcPr>
          <w:p>
            <w:pPr>
              <w:spacing w:line="276" w:lineRule="auto" w:after="40"/>
              <w:jc w:val="right"/>
            </w:pPr>
            <w:r>
              <w:rPr>
                <w:sz w:val="22"/>
              </w:rPr>
              <w:t>66</w:t>
            </w:r>
          </w:p>
        </w:tc>
      </w:tr>
      <w:tr>
        <w:tc>
          <w:tcPr>
            <w:tcW w:type="dxa" w:w="6480"/>
          </w:tcPr>
          <w:p>
            <w:pPr>
              <w:spacing w:line="276" w:lineRule="auto" w:after="40"/>
            </w:pPr>
            <w:r>
              <w:rPr>
                <w:sz w:val="22"/>
              </w:rPr>
              <w:t xml:space="preserve">    5.3 Receiver Operating Characteristic And Precision-Recall Analysis</w:t>
            </w:r>
          </w:p>
        </w:tc>
        <w:tc>
          <w:tcPr>
            <w:tcW w:type="dxa" w:w="1440"/>
          </w:tcPr>
          <w:p>
            <w:pPr>
              <w:spacing w:line="276" w:lineRule="auto" w:after="40"/>
              <w:jc w:val="right"/>
            </w:pPr>
            <w:r>
              <w:rPr>
                <w:sz w:val="22"/>
              </w:rPr>
              <w:t>68</w:t>
            </w:r>
          </w:p>
        </w:tc>
      </w:tr>
      <w:tr>
        <w:tc>
          <w:tcPr>
            <w:tcW w:type="dxa" w:w="6480"/>
          </w:tcPr>
          <w:p>
            <w:pPr>
              <w:spacing w:line="276" w:lineRule="auto" w:after="40"/>
            </w:pPr>
            <w:r>
              <w:rPr>
                <w:sz w:val="22"/>
              </w:rPr>
              <w:t xml:space="preserve">    5.4 Edge Inference Latency And Computational Profiling (&lt;120ms)</w:t>
            </w:r>
          </w:p>
        </w:tc>
        <w:tc>
          <w:tcPr>
            <w:tcW w:type="dxa" w:w="1440"/>
          </w:tcPr>
          <w:p>
            <w:pPr>
              <w:spacing w:line="276" w:lineRule="auto" w:after="40"/>
              <w:jc w:val="right"/>
            </w:pPr>
            <w:r>
              <w:rPr>
                <w:sz w:val="22"/>
              </w:rPr>
              <w:t>70</w:t>
            </w:r>
          </w:p>
        </w:tc>
      </w:tr>
      <w:tr>
        <w:tc>
          <w:tcPr>
            <w:tcW w:type="dxa" w:w="6480"/>
          </w:tcPr>
          <w:p>
            <w:pPr>
              <w:spacing w:line="276" w:lineRule="auto" w:after="40"/>
            </w:pPr>
            <w:r>
              <w:rPr>
                <w:sz w:val="22"/>
              </w:rPr>
              <w:t xml:space="preserve">    5.5 Clinical Phenotype Validation: Gaucher Disease Type 1</w:t>
            </w:r>
          </w:p>
        </w:tc>
        <w:tc>
          <w:tcPr>
            <w:tcW w:type="dxa" w:w="1440"/>
          </w:tcPr>
          <w:p>
            <w:pPr>
              <w:spacing w:line="276" w:lineRule="auto" w:after="40"/>
              <w:jc w:val="right"/>
            </w:pPr>
            <w:r>
              <w:rPr>
                <w:sz w:val="22"/>
              </w:rPr>
              <w:t>72</w:t>
            </w:r>
          </w:p>
        </w:tc>
      </w:tr>
      <w:tr>
        <w:tc>
          <w:tcPr>
            <w:tcW w:type="dxa" w:w="6480"/>
          </w:tcPr>
          <w:p>
            <w:pPr>
              <w:spacing w:line="276" w:lineRule="auto" w:after="40"/>
            </w:pPr>
            <w:r>
              <w:rPr>
                <w:sz w:val="22"/>
              </w:rPr>
              <w:t xml:space="preserve">    5.6 Clinical Phenotype Validation: Fabry Disease</w:t>
            </w:r>
          </w:p>
        </w:tc>
        <w:tc>
          <w:tcPr>
            <w:tcW w:type="dxa" w:w="1440"/>
          </w:tcPr>
          <w:p>
            <w:pPr>
              <w:spacing w:line="276" w:lineRule="auto" w:after="40"/>
              <w:jc w:val="right"/>
            </w:pPr>
            <w:r>
              <w:rPr>
                <w:sz w:val="22"/>
              </w:rPr>
              <w:t>74</w:t>
            </w:r>
          </w:p>
        </w:tc>
      </w:tr>
      <w:tr>
        <w:tc>
          <w:tcPr>
            <w:tcW w:type="dxa" w:w="6480"/>
          </w:tcPr>
          <w:p>
            <w:pPr>
              <w:spacing w:line="276" w:lineRule="auto" w:after="40"/>
            </w:pPr>
            <w:r>
              <w:rPr>
                <w:sz w:val="22"/>
              </w:rPr>
              <w:t xml:space="preserve">    5.7 Clinical Phenotype Validation: Alkaptonuria</w:t>
            </w:r>
          </w:p>
        </w:tc>
        <w:tc>
          <w:tcPr>
            <w:tcW w:type="dxa" w:w="1440"/>
          </w:tcPr>
          <w:p>
            <w:pPr>
              <w:spacing w:line="276" w:lineRule="auto" w:after="40"/>
              <w:jc w:val="right"/>
            </w:pPr>
            <w:r>
              <w:rPr>
                <w:sz w:val="22"/>
              </w:rPr>
              <w:t>76</w:t>
            </w:r>
          </w:p>
        </w:tc>
      </w:tr>
      <w:tr>
        <w:tc>
          <w:tcPr>
            <w:tcW w:type="dxa" w:w="6480"/>
          </w:tcPr>
          <w:p>
            <w:pPr>
              <w:spacing w:line="276" w:lineRule="auto" w:after="40"/>
            </w:pPr>
            <w:r>
              <w:rPr>
                <w:sz w:val="22"/>
              </w:rPr>
              <w:t xml:space="preserve">    5.8 Clinical Phenotype Validation: Wilson's Disease</w:t>
            </w:r>
          </w:p>
        </w:tc>
        <w:tc>
          <w:tcPr>
            <w:tcW w:type="dxa" w:w="1440"/>
          </w:tcPr>
          <w:p>
            <w:pPr>
              <w:spacing w:line="276" w:lineRule="auto" w:after="40"/>
              <w:jc w:val="right"/>
            </w:pPr>
            <w:r>
              <w:rPr>
                <w:sz w:val="22"/>
              </w:rPr>
              <w:t>78</w:t>
            </w:r>
          </w:p>
        </w:tc>
      </w:tr>
      <w:tr>
        <w:tc>
          <w:tcPr>
            <w:tcW w:type="dxa" w:w="6480"/>
          </w:tcPr>
          <w:p>
            <w:pPr>
              <w:spacing w:line="276" w:lineRule="auto" w:after="40"/>
            </w:pPr>
            <w:r>
              <w:rPr>
                <w:sz w:val="22"/>
              </w:rPr>
              <w:t xml:space="preserve">    5.9 Specialist Referral Matching And Memorandum Verification</w:t>
            </w:r>
          </w:p>
        </w:tc>
        <w:tc>
          <w:tcPr>
            <w:tcW w:type="dxa" w:w="1440"/>
          </w:tcPr>
          <w:p>
            <w:pPr>
              <w:spacing w:line="276" w:lineRule="auto" w:after="40"/>
              <w:jc w:val="right"/>
            </w:pPr>
            <w:r>
              <w:rPr>
                <w:sz w:val="22"/>
              </w:rPr>
              <w:t>80</w:t>
            </w:r>
          </w:p>
        </w:tc>
      </w:tr>
      <w:tr>
        <w:tc>
          <w:tcPr>
            <w:tcW w:type="dxa" w:w="6480"/>
          </w:tcPr>
          <w:p>
            <w:pPr>
              <w:spacing w:line="276" w:lineRule="auto" w:after="40"/>
            </w:pPr>
            <w:r>
              <w:rPr>
                <w:sz w:val="22"/>
              </w:rPr>
              <w:t xml:space="preserve">    5.10 Physician Review Console And Audit Trail Verification</w:t>
            </w:r>
          </w:p>
        </w:tc>
        <w:tc>
          <w:tcPr>
            <w:tcW w:type="dxa" w:w="1440"/>
          </w:tcPr>
          <w:p>
            <w:pPr>
              <w:spacing w:line="276" w:lineRule="auto" w:after="40"/>
              <w:jc w:val="right"/>
            </w:pPr>
            <w:r>
              <w:rPr>
                <w:sz w:val="22"/>
              </w:rPr>
              <w:t>82</w:t>
            </w:r>
          </w:p>
        </w:tc>
      </w:tr>
      <w:tr>
        <w:tc>
          <w:tcPr>
            <w:tcW w:type="dxa" w:w="6480"/>
          </w:tcPr>
          <w:p>
            <w:pPr>
              <w:spacing w:line="276" w:lineRule="auto" w:after="40"/>
            </w:pPr>
            <w:r>
              <w:rPr>
                <w:b/>
                <w:sz w:val="22"/>
              </w:rPr>
              <w:t>CONCLUSION</w:t>
            </w:r>
          </w:p>
        </w:tc>
        <w:tc>
          <w:tcPr>
            <w:tcW w:type="dxa" w:w="1440"/>
          </w:tcPr>
          <w:p>
            <w:pPr>
              <w:spacing w:line="276" w:lineRule="auto" w:after="40"/>
              <w:jc w:val="right"/>
            </w:pPr>
            <w:r>
              <w:rPr>
                <w:b/>
                <w:sz w:val="22"/>
              </w:rPr>
              <w:t>84</w:t>
            </w:r>
          </w:p>
        </w:tc>
      </w:tr>
      <w:tr>
        <w:tc>
          <w:tcPr>
            <w:tcW w:type="dxa" w:w="6480"/>
          </w:tcPr>
          <w:p>
            <w:pPr>
              <w:spacing w:line="276" w:lineRule="auto" w:after="40"/>
            </w:pPr>
            <w:r>
              <w:rPr>
                <w:b/>
                <w:sz w:val="22"/>
              </w:rPr>
              <w:t>BIBLIOGRAPHY</w:t>
            </w:r>
          </w:p>
        </w:tc>
        <w:tc>
          <w:tcPr>
            <w:tcW w:type="dxa" w:w="1440"/>
          </w:tcPr>
          <w:p>
            <w:pPr>
              <w:spacing w:line="276" w:lineRule="auto" w:after="40"/>
              <w:jc w:val="right"/>
            </w:pPr>
            <w:r>
              <w:rPr>
                <w:b/>
                <w:sz w:val="22"/>
              </w:rPr>
              <w:t>86</w:t>
            </w:r>
          </w:p>
        </w:tc>
      </w:tr>
    </w:tbl>
    <w:p>
      <w:r>
        <w:br w:type="page"/>
      </w:r>
    </w:p>
    <w:p>
      <w:pPr>
        <w:spacing w:before="240" w:after="320"/>
        <w:jc w:val="center"/>
      </w:pPr>
      <w:r>
        <w:rPr>
          <w:b/>
          <w:sz w:val="32"/>
        </w:rPr>
        <w:t>LIST OF FIGURES</w:t>
      </w:r>
    </w:p>
    <w:tbl>
      <w:tblPr>
        <w:tblW w:type="auto" w:w="0"/>
        <w:jc w:val="center"/>
        <w:tblLook w:firstColumn="1" w:firstRow="1" w:lastColumn="0" w:lastRow="0" w:noHBand="0" w:noVBand="1" w:val="04A0"/>
      </w:tblPr>
      <w:tblGrid>
        <w:gridCol w:w="3000"/>
        <w:gridCol w:w="3000"/>
        <w:gridCol w:w="3000"/>
      </w:tblGrid>
      <w:tr>
        <w:tc>
          <w:tcPr>
            <w:tcW w:type="dxa" w:w="1152"/>
          </w:tcPr>
          <w:p>
            <w:r>
              <w:rPr>
                <w:b/>
              </w:rPr>
              <w:t>S.No</w:t>
            </w:r>
          </w:p>
        </w:tc>
        <w:tc>
          <w:tcPr>
            <w:tcW w:type="dxa" w:w="5760"/>
          </w:tcPr>
          <w:p>
            <w:r>
              <w:rPr>
                <w:b/>
              </w:rPr>
              <w:t>NAME OF THE FIGURE</w:t>
            </w:r>
          </w:p>
        </w:tc>
        <w:tc>
          <w:tcPr>
            <w:tcW w:type="dxa" w:w="1440"/>
          </w:tcPr>
          <w:p>
            <w:pPr>
              <w:jc w:val="right"/>
            </w:pPr>
            <w:r>
              <w:rPr>
                <w:b/>
              </w:rPr>
              <w:t>PAGE.No</w:t>
            </w:r>
          </w:p>
        </w:tc>
      </w:tr>
      <w:tr>
        <w:tc>
          <w:tcPr>
            <w:tcW w:type="dxa" w:w="1152"/>
          </w:tcPr>
          <w:p>
            <w:pPr>
              <w:spacing w:line="276" w:lineRule="auto" w:after="40"/>
            </w:pPr>
            <w:r>
              <w:rPr>
                <w:sz w:val="22"/>
              </w:rPr>
              <w:t>1.1</w:t>
            </w:r>
          </w:p>
        </w:tc>
        <w:tc>
          <w:tcPr>
            <w:tcW w:type="dxa" w:w="5760"/>
          </w:tcPr>
          <w:p>
            <w:pPr>
              <w:spacing w:line="276" w:lineRule="auto" w:after="40"/>
            </w:pPr>
            <w:r>
              <w:rPr>
                <w:sz w:val="22"/>
              </w:rPr>
              <w:t>Block Diagram of Edge Clinical Triage Flow</w:t>
            </w:r>
          </w:p>
        </w:tc>
        <w:tc>
          <w:tcPr>
            <w:tcW w:type="dxa" w:w="1440"/>
          </w:tcPr>
          <w:p>
            <w:pPr>
              <w:spacing w:line="276" w:lineRule="auto" w:after="40"/>
              <w:jc w:val="right"/>
            </w:pPr>
            <w:r>
              <w:rPr>
                <w:sz w:val="22"/>
              </w:rPr>
              <w:t>02</w:t>
            </w:r>
          </w:p>
        </w:tc>
      </w:tr>
      <w:tr>
        <w:tc>
          <w:tcPr>
            <w:tcW w:type="dxa" w:w="1152"/>
          </w:tcPr>
          <w:p>
            <w:pPr>
              <w:spacing w:line="276" w:lineRule="auto" w:after="40"/>
            </w:pPr>
            <w:r>
              <w:rPr>
                <w:sz w:val="22"/>
              </w:rPr>
              <w:t>1.2</w:t>
            </w:r>
          </w:p>
        </w:tc>
        <w:tc>
          <w:tcPr>
            <w:tcW w:type="dxa" w:w="5760"/>
          </w:tcPr>
          <w:p>
            <w:pPr>
              <w:spacing w:line="276" w:lineRule="auto" w:after="40"/>
            </w:pPr>
            <w:r>
              <w:rPr>
                <w:sz w:val="22"/>
              </w:rPr>
              <w:t>SynDx-S Offline Healthcare Ecosystem Architecture</w:t>
            </w:r>
          </w:p>
        </w:tc>
        <w:tc>
          <w:tcPr>
            <w:tcW w:type="dxa" w:w="1440"/>
          </w:tcPr>
          <w:p>
            <w:pPr>
              <w:spacing w:line="276" w:lineRule="auto" w:after="40"/>
              <w:jc w:val="right"/>
            </w:pPr>
            <w:r>
              <w:rPr>
                <w:sz w:val="22"/>
              </w:rPr>
              <w:t>06</w:t>
            </w:r>
          </w:p>
        </w:tc>
      </w:tr>
      <w:tr>
        <w:tc>
          <w:tcPr>
            <w:tcW w:type="dxa" w:w="1152"/>
          </w:tcPr>
          <w:p>
            <w:pPr>
              <w:spacing w:line="276" w:lineRule="auto" w:after="40"/>
            </w:pPr>
            <w:r>
              <w:rPr>
                <w:sz w:val="22"/>
              </w:rPr>
              <w:t>2.1</w:t>
            </w:r>
          </w:p>
        </w:tc>
        <w:tc>
          <w:tcPr>
            <w:tcW w:type="dxa" w:w="5760"/>
          </w:tcPr>
          <w:p>
            <w:pPr>
              <w:spacing w:line="276" w:lineRule="auto" w:after="40"/>
            </w:pPr>
            <w:r>
              <w:rPr>
                <w:sz w:val="22"/>
              </w:rPr>
              <w:t>Conceptual Pipeline of Explainable AI (SHAP) in Medicine</w:t>
            </w:r>
          </w:p>
        </w:tc>
        <w:tc>
          <w:tcPr>
            <w:tcW w:type="dxa" w:w="1440"/>
          </w:tcPr>
          <w:p>
            <w:pPr>
              <w:spacing w:line="276" w:lineRule="auto" w:after="40"/>
              <w:jc w:val="right"/>
            </w:pPr>
            <w:r>
              <w:rPr>
                <w:sz w:val="22"/>
              </w:rPr>
              <w:t>23</w:t>
            </w:r>
          </w:p>
        </w:tc>
      </w:tr>
      <w:tr>
        <w:tc>
          <w:tcPr>
            <w:tcW w:type="dxa" w:w="1152"/>
          </w:tcPr>
          <w:p>
            <w:pPr>
              <w:spacing w:line="276" w:lineRule="auto" w:after="40"/>
            </w:pPr>
            <w:r>
              <w:rPr>
                <w:sz w:val="22"/>
              </w:rPr>
              <w:t>2.2</w:t>
            </w:r>
          </w:p>
        </w:tc>
        <w:tc>
          <w:tcPr>
            <w:tcW w:type="dxa" w:w="5760"/>
          </w:tcPr>
          <w:p>
            <w:pPr>
              <w:spacing w:line="276" w:lineRule="auto" w:after="40"/>
            </w:pPr>
            <w:r>
              <w:rPr>
                <w:sz w:val="22"/>
              </w:rPr>
              <w:t>Federated Multi-Clinic Learning with Differential Privacy</w:t>
            </w:r>
          </w:p>
        </w:tc>
        <w:tc>
          <w:tcPr>
            <w:tcW w:type="dxa" w:w="1440"/>
          </w:tcPr>
          <w:p>
            <w:pPr>
              <w:spacing w:line="276" w:lineRule="auto" w:after="40"/>
              <w:jc w:val="right"/>
            </w:pPr>
            <w:r>
              <w:rPr>
                <w:sz w:val="22"/>
              </w:rPr>
              <w:t>26</w:t>
            </w:r>
          </w:p>
        </w:tc>
      </w:tr>
      <w:tr>
        <w:tc>
          <w:tcPr>
            <w:tcW w:type="dxa" w:w="1152"/>
          </w:tcPr>
          <w:p>
            <w:pPr>
              <w:spacing w:line="276" w:lineRule="auto" w:after="40"/>
            </w:pPr>
            <w:r>
              <w:rPr>
                <w:sz w:val="22"/>
              </w:rPr>
              <w:t>3.1</w:t>
            </w:r>
          </w:p>
        </w:tc>
        <w:tc>
          <w:tcPr>
            <w:tcW w:type="dxa" w:w="5760"/>
          </w:tcPr>
          <w:p>
            <w:pPr>
              <w:spacing w:line="276" w:lineRule="auto" w:after="40"/>
            </w:pPr>
            <w:r>
              <w:rPr>
                <w:sz w:val="22"/>
              </w:rPr>
              <w:t>SynDx Software Stack and Development Ecosystem</w:t>
            </w:r>
          </w:p>
        </w:tc>
        <w:tc>
          <w:tcPr>
            <w:tcW w:type="dxa" w:w="1440"/>
          </w:tcPr>
          <w:p>
            <w:pPr>
              <w:spacing w:line="276" w:lineRule="auto" w:after="40"/>
              <w:jc w:val="right"/>
            </w:pPr>
            <w:r>
              <w:rPr>
                <w:sz w:val="22"/>
              </w:rPr>
              <w:t>30</w:t>
            </w:r>
          </w:p>
        </w:tc>
      </w:tr>
      <w:tr>
        <w:tc>
          <w:tcPr>
            <w:tcW w:type="dxa" w:w="1152"/>
          </w:tcPr>
          <w:p>
            <w:pPr>
              <w:spacing w:line="276" w:lineRule="auto" w:after="40"/>
            </w:pPr>
            <w:r>
              <w:rPr>
                <w:sz w:val="22"/>
              </w:rPr>
              <w:t>3.2</w:t>
            </w:r>
          </w:p>
        </w:tc>
        <w:tc>
          <w:tcPr>
            <w:tcW w:type="dxa" w:w="5760"/>
          </w:tcPr>
          <w:p>
            <w:pPr>
              <w:spacing w:line="276" w:lineRule="auto" w:after="40"/>
            </w:pPr>
            <w:r>
              <w:rPr>
                <w:sz w:val="22"/>
              </w:rPr>
              <w:t>High-Level Master System Architecture</w:t>
            </w:r>
          </w:p>
        </w:tc>
        <w:tc>
          <w:tcPr>
            <w:tcW w:type="dxa" w:w="1440"/>
          </w:tcPr>
          <w:p>
            <w:pPr>
              <w:spacing w:line="276" w:lineRule="auto" w:after="40"/>
              <w:jc w:val="right"/>
            </w:pPr>
            <w:r>
              <w:rPr>
                <w:sz w:val="22"/>
              </w:rPr>
              <w:t>32</w:t>
            </w:r>
          </w:p>
        </w:tc>
      </w:tr>
      <w:tr>
        <w:tc>
          <w:tcPr>
            <w:tcW w:type="dxa" w:w="1152"/>
          </w:tcPr>
          <w:p>
            <w:pPr>
              <w:spacing w:line="276" w:lineRule="auto" w:after="40"/>
            </w:pPr>
            <w:r>
              <w:rPr>
                <w:sz w:val="22"/>
              </w:rPr>
              <w:t>3.3</w:t>
            </w:r>
          </w:p>
        </w:tc>
        <w:tc>
          <w:tcPr>
            <w:tcW w:type="dxa" w:w="5760"/>
          </w:tcPr>
          <w:p>
            <w:pPr>
              <w:spacing w:line="276" w:lineRule="auto" w:after="40"/>
            </w:pPr>
            <w:r>
              <w:rPr>
                <w:sz w:val="22"/>
              </w:rPr>
              <w:t>Four-Step Guided Clinical Workflow State Machine</w:t>
            </w:r>
          </w:p>
        </w:tc>
        <w:tc>
          <w:tcPr>
            <w:tcW w:type="dxa" w:w="1440"/>
          </w:tcPr>
          <w:p>
            <w:pPr>
              <w:spacing w:line="276" w:lineRule="auto" w:after="40"/>
              <w:jc w:val="right"/>
            </w:pPr>
            <w:r>
              <w:rPr>
                <w:sz w:val="22"/>
              </w:rPr>
              <w:t>35</w:t>
            </w:r>
          </w:p>
        </w:tc>
      </w:tr>
      <w:tr>
        <w:tc>
          <w:tcPr>
            <w:tcW w:type="dxa" w:w="1152"/>
          </w:tcPr>
          <w:p>
            <w:pPr>
              <w:spacing w:line="276" w:lineRule="auto" w:after="40"/>
            </w:pPr>
            <w:r>
              <w:rPr>
                <w:sz w:val="22"/>
              </w:rPr>
              <w:t>3.4</w:t>
            </w:r>
          </w:p>
        </w:tc>
        <w:tc>
          <w:tcPr>
            <w:tcW w:type="dxa" w:w="5760"/>
          </w:tcPr>
          <w:p>
            <w:pPr>
              <w:spacing w:line="276" w:lineRule="auto" w:after="40"/>
            </w:pPr>
            <w:r>
              <w:rPr>
                <w:sz w:val="22"/>
              </w:rPr>
              <w:t>Automated Tertiary Facility Matcher and Routing Flow</w:t>
            </w:r>
          </w:p>
        </w:tc>
        <w:tc>
          <w:tcPr>
            <w:tcW w:type="dxa" w:w="1440"/>
          </w:tcPr>
          <w:p>
            <w:pPr>
              <w:spacing w:line="276" w:lineRule="auto" w:after="40"/>
              <w:jc w:val="right"/>
            </w:pPr>
            <w:r>
              <w:rPr>
                <w:sz w:val="22"/>
              </w:rPr>
              <w:t>41</w:t>
            </w:r>
          </w:p>
        </w:tc>
      </w:tr>
      <w:tr>
        <w:tc>
          <w:tcPr>
            <w:tcW w:type="dxa" w:w="1152"/>
          </w:tcPr>
          <w:p>
            <w:pPr>
              <w:spacing w:line="276" w:lineRule="auto" w:after="40"/>
            </w:pPr>
            <w:r>
              <w:rPr>
                <w:sz w:val="22"/>
              </w:rPr>
              <w:t>4.1</w:t>
            </w:r>
          </w:p>
        </w:tc>
        <w:tc>
          <w:tcPr>
            <w:tcW w:type="dxa" w:w="5760"/>
          </w:tcPr>
          <w:p>
            <w:pPr>
              <w:spacing w:line="276" w:lineRule="auto" w:after="40"/>
            </w:pPr>
            <w:r>
              <w:rPr>
                <w:sz w:val="22"/>
              </w:rPr>
              <w:t>Home Dashboard and Real-Time Telemetry Interface</w:t>
            </w:r>
          </w:p>
        </w:tc>
        <w:tc>
          <w:tcPr>
            <w:tcW w:type="dxa" w:w="1440"/>
          </w:tcPr>
          <w:p>
            <w:pPr>
              <w:spacing w:line="276" w:lineRule="auto" w:after="40"/>
              <w:jc w:val="right"/>
            </w:pPr>
            <w:r>
              <w:rPr>
                <w:sz w:val="22"/>
              </w:rPr>
              <w:t>54</w:t>
            </w:r>
          </w:p>
        </w:tc>
      </w:tr>
      <w:tr>
        <w:tc>
          <w:tcPr>
            <w:tcW w:type="dxa" w:w="1152"/>
          </w:tcPr>
          <w:p>
            <w:pPr>
              <w:spacing w:line="276" w:lineRule="auto" w:after="40"/>
            </w:pPr>
            <w:r>
              <w:rPr>
                <w:sz w:val="22"/>
              </w:rPr>
              <w:t>4.2</w:t>
            </w:r>
          </w:p>
        </w:tc>
        <w:tc>
          <w:tcPr>
            <w:tcW w:type="dxa" w:w="5760"/>
          </w:tcPr>
          <w:p>
            <w:pPr>
              <w:spacing w:line="276" w:lineRule="auto" w:after="40"/>
            </w:pPr>
            <w:r>
              <w:rPr>
                <w:sz w:val="22"/>
              </w:rPr>
              <w:t>Patient Intake and Hallmark HPO Symptom Phenotyping</w:t>
            </w:r>
          </w:p>
        </w:tc>
        <w:tc>
          <w:tcPr>
            <w:tcW w:type="dxa" w:w="1440"/>
          </w:tcPr>
          <w:p>
            <w:pPr>
              <w:spacing w:line="276" w:lineRule="auto" w:after="40"/>
              <w:jc w:val="right"/>
            </w:pPr>
            <w:r>
              <w:rPr>
                <w:sz w:val="22"/>
              </w:rPr>
              <w:t>56</w:t>
            </w:r>
          </w:p>
        </w:tc>
      </w:tr>
      <w:tr>
        <w:tc>
          <w:tcPr>
            <w:tcW w:type="dxa" w:w="1152"/>
          </w:tcPr>
          <w:p>
            <w:pPr>
              <w:spacing w:line="276" w:lineRule="auto" w:after="40"/>
            </w:pPr>
            <w:r>
              <w:rPr>
                <w:sz w:val="22"/>
              </w:rPr>
              <w:t>4.3</w:t>
            </w:r>
          </w:p>
        </w:tc>
        <w:tc>
          <w:tcPr>
            <w:tcW w:type="dxa" w:w="5760"/>
          </w:tcPr>
          <w:p>
            <w:pPr>
              <w:spacing w:line="276" w:lineRule="auto" w:after="40"/>
            </w:pPr>
            <w:r>
              <w:rPr>
                <w:sz w:val="22"/>
              </w:rPr>
              <w:t>Disease Identification Output and Explainable AI Justifications</w:t>
            </w:r>
          </w:p>
        </w:tc>
        <w:tc>
          <w:tcPr>
            <w:tcW w:type="dxa" w:w="1440"/>
          </w:tcPr>
          <w:p>
            <w:pPr>
              <w:spacing w:line="276" w:lineRule="auto" w:after="40"/>
              <w:jc w:val="right"/>
            </w:pPr>
            <w:r>
              <w:rPr>
                <w:sz w:val="22"/>
              </w:rPr>
              <w:t>58</w:t>
            </w:r>
          </w:p>
        </w:tc>
      </w:tr>
      <w:tr>
        <w:tc>
          <w:tcPr>
            <w:tcW w:type="dxa" w:w="1152"/>
          </w:tcPr>
          <w:p>
            <w:pPr>
              <w:spacing w:line="276" w:lineRule="auto" w:after="40"/>
            </w:pPr>
            <w:r>
              <w:rPr>
                <w:sz w:val="22"/>
              </w:rPr>
              <w:t>4.4</w:t>
            </w:r>
          </w:p>
        </w:tc>
        <w:tc>
          <w:tcPr>
            <w:tcW w:type="dxa" w:w="5760"/>
          </w:tcPr>
          <w:p>
            <w:pPr>
              <w:spacing w:line="276" w:lineRule="auto" w:after="40"/>
            </w:pPr>
            <w:r>
              <w:rPr>
                <w:sz w:val="22"/>
              </w:rPr>
              <w:t>Official Specialist Referral Authorization Memorandum</w:t>
            </w:r>
          </w:p>
        </w:tc>
        <w:tc>
          <w:tcPr>
            <w:tcW w:type="dxa" w:w="1440"/>
          </w:tcPr>
          <w:p>
            <w:pPr>
              <w:spacing w:line="276" w:lineRule="auto" w:after="40"/>
              <w:jc w:val="right"/>
            </w:pPr>
            <w:r>
              <w:rPr>
                <w:sz w:val="22"/>
              </w:rPr>
              <w:t>60</w:t>
            </w:r>
          </w:p>
        </w:tc>
      </w:tr>
      <w:tr>
        <w:tc>
          <w:tcPr>
            <w:tcW w:type="dxa" w:w="1152"/>
          </w:tcPr>
          <w:p>
            <w:pPr>
              <w:spacing w:line="276" w:lineRule="auto" w:after="40"/>
            </w:pPr>
            <w:r>
              <w:rPr>
                <w:sz w:val="22"/>
              </w:rPr>
              <w:t>4.5</w:t>
            </w:r>
          </w:p>
        </w:tc>
        <w:tc>
          <w:tcPr>
            <w:tcW w:type="dxa" w:w="5760"/>
          </w:tcPr>
          <w:p>
            <w:pPr>
              <w:spacing w:line="276" w:lineRule="auto" w:after="40"/>
            </w:pPr>
            <w:r>
              <w:rPr>
                <w:sz w:val="22"/>
              </w:rPr>
              <w:t>Physician Review Console and Clinical Triage Queue</w:t>
            </w:r>
          </w:p>
        </w:tc>
        <w:tc>
          <w:tcPr>
            <w:tcW w:type="dxa" w:w="1440"/>
          </w:tcPr>
          <w:p>
            <w:pPr>
              <w:spacing w:line="276" w:lineRule="auto" w:after="40"/>
              <w:jc w:val="right"/>
            </w:pPr>
            <w:r>
              <w:rPr>
                <w:sz w:val="22"/>
              </w:rPr>
              <w:t>62</w:t>
            </w:r>
          </w:p>
        </w:tc>
      </w:tr>
      <w:tr>
        <w:tc>
          <w:tcPr>
            <w:tcW w:type="dxa" w:w="1152"/>
          </w:tcPr>
          <w:p>
            <w:pPr>
              <w:spacing w:line="276" w:lineRule="auto" w:after="40"/>
            </w:pPr>
            <w:r>
              <w:rPr>
                <w:sz w:val="22"/>
              </w:rPr>
              <w:t>5.1</w:t>
            </w:r>
          </w:p>
        </w:tc>
        <w:tc>
          <w:tcPr>
            <w:tcW w:type="dxa" w:w="5760"/>
          </w:tcPr>
          <w:p>
            <w:pPr>
              <w:spacing w:line="276" w:lineRule="auto" w:after="40"/>
            </w:pPr>
            <w:r>
              <w:rPr>
                <w:sz w:val="22"/>
              </w:rPr>
              <w:t>Cross-Model Accuracy Comparison on Validation Split</w:t>
            </w:r>
          </w:p>
        </w:tc>
        <w:tc>
          <w:tcPr>
            <w:tcW w:type="dxa" w:w="1440"/>
          </w:tcPr>
          <w:p>
            <w:pPr>
              <w:spacing w:line="276" w:lineRule="auto" w:after="40"/>
              <w:jc w:val="right"/>
            </w:pPr>
            <w:r>
              <w:rPr>
                <w:sz w:val="22"/>
              </w:rPr>
              <w:t>67</w:t>
            </w:r>
          </w:p>
        </w:tc>
      </w:tr>
      <w:tr>
        <w:tc>
          <w:tcPr>
            <w:tcW w:type="dxa" w:w="1152"/>
          </w:tcPr>
          <w:p>
            <w:pPr>
              <w:spacing w:line="276" w:lineRule="auto" w:after="40"/>
            </w:pPr>
            <w:r>
              <w:rPr>
                <w:sz w:val="22"/>
              </w:rPr>
              <w:t>5.2</w:t>
            </w:r>
          </w:p>
        </w:tc>
        <w:tc>
          <w:tcPr>
            <w:tcW w:type="dxa" w:w="5760"/>
          </w:tcPr>
          <w:p>
            <w:pPr>
              <w:spacing w:line="276" w:lineRule="auto" w:after="40"/>
            </w:pPr>
            <w:r>
              <w:rPr>
                <w:sz w:val="22"/>
              </w:rPr>
              <w:t>Receiver Operating Characteristic (ROC) Curves</w:t>
            </w:r>
          </w:p>
        </w:tc>
        <w:tc>
          <w:tcPr>
            <w:tcW w:type="dxa" w:w="1440"/>
          </w:tcPr>
          <w:p>
            <w:pPr>
              <w:spacing w:line="276" w:lineRule="auto" w:after="40"/>
              <w:jc w:val="right"/>
            </w:pPr>
            <w:r>
              <w:rPr>
                <w:sz w:val="22"/>
              </w:rPr>
              <w:t>69</w:t>
            </w:r>
          </w:p>
        </w:tc>
      </w:tr>
      <w:tr>
        <w:tc>
          <w:tcPr>
            <w:tcW w:type="dxa" w:w="1152"/>
          </w:tcPr>
          <w:p>
            <w:pPr>
              <w:spacing w:line="276" w:lineRule="auto" w:after="40"/>
            </w:pPr>
            <w:r>
              <w:rPr>
                <w:sz w:val="22"/>
              </w:rPr>
              <w:t>5.3</w:t>
            </w:r>
          </w:p>
        </w:tc>
        <w:tc>
          <w:tcPr>
            <w:tcW w:type="dxa" w:w="5760"/>
          </w:tcPr>
          <w:p>
            <w:pPr>
              <w:spacing w:line="276" w:lineRule="auto" w:after="40"/>
            </w:pPr>
            <w:r>
              <w:rPr>
                <w:sz w:val="22"/>
              </w:rPr>
              <w:t>Precision-Recall Curves Across Baseline Models</w:t>
            </w:r>
          </w:p>
        </w:tc>
        <w:tc>
          <w:tcPr>
            <w:tcW w:type="dxa" w:w="1440"/>
          </w:tcPr>
          <w:p>
            <w:pPr>
              <w:spacing w:line="276" w:lineRule="auto" w:after="40"/>
              <w:jc w:val="right"/>
            </w:pPr>
            <w:r>
              <w:rPr>
                <w:sz w:val="22"/>
              </w:rPr>
              <w:t>70</w:t>
            </w:r>
          </w:p>
        </w:tc>
      </w:tr>
      <w:tr>
        <w:tc>
          <w:tcPr>
            <w:tcW w:type="dxa" w:w="1152"/>
          </w:tcPr>
          <w:p>
            <w:pPr>
              <w:spacing w:line="276" w:lineRule="auto" w:after="40"/>
            </w:pPr>
            <w:r>
              <w:rPr>
                <w:sz w:val="22"/>
              </w:rPr>
              <w:t>5.4</w:t>
            </w:r>
          </w:p>
        </w:tc>
        <w:tc>
          <w:tcPr>
            <w:tcW w:type="dxa" w:w="5760"/>
          </w:tcPr>
          <w:p>
            <w:pPr>
              <w:spacing w:line="276" w:lineRule="auto" w:after="40"/>
            </w:pPr>
            <w:r>
              <w:rPr>
                <w:sz w:val="22"/>
              </w:rPr>
              <w:t>XGBoost Feature Importance Attribution (SHAP Values)</w:t>
            </w:r>
          </w:p>
        </w:tc>
        <w:tc>
          <w:tcPr>
            <w:tcW w:type="dxa" w:w="1440"/>
          </w:tcPr>
          <w:p>
            <w:pPr>
              <w:spacing w:line="276" w:lineRule="auto" w:after="40"/>
              <w:jc w:val="right"/>
            </w:pPr>
            <w:r>
              <w:rPr>
                <w:sz w:val="22"/>
              </w:rPr>
              <w:t>71</w:t>
            </w:r>
          </w:p>
        </w:tc>
      </w:tr>
      <w:tr>
        <w:tc>
          <w:tcPr>
            <w:tcW w:type="dxa" w:w="1152"/>
          </w:tcPr>
          <w:p>
            <w:pPr>
              <w:spacing w:line="276" w:lineRule="auto" w:after="40"/>
            </w:pPr>
            <w:r>
              <w:rPr>
                <w:sz w:val="22"/>
              </w:rPr>
              <w:t>5.5</w:t>
            </w:r>
          </w:p>
        </w:tc>
        <w:tc>
          <w:tcPr>
            <w:tcW w:type="dxa" w:w="5760"/>
          </w:tcPr>
          <w:p>
            <w:pPr>
              <w:spacing w:line="276" w:lineRule="auto" w:after="40"/>
            </w:pPr>
            <w:r>
              <w:rPr>
                <w:sz w:val="22"/>
              </w:rPr>
              <w:t>Confusion Matrix Analysis for XGBoost Classifier</w:t>
            </w:r>
          </w:p>
        </w:tc>
        <w:tc>
          <w:tcPr>
            <w:tcW w:type="dxa" w:w="1440"/>
          </w:tcPr>
          <w:p>
            <w:pPr>
              <w:spacing w:line="276" w:lineRule="auto" w:after="40"/>
              <w:jc w:val="right"/>
            </w:pPr>
            <w:r>
              <w:rPr>
                <w:sz w:val="22"/>
              </w:rPr>
              <w:t>72</w:t>
            </w:r>
          </w:p>
        </w:tc>
      </w:tr>
      <w:tr>
        <w:tc>
          <w:tcPr>
            <w:tcW w:type="dxa" w:w="1152"/>
          </w:tcPr>
          <w:p>
            <w:pPr>
              <w:spacing w:line="276" w:lineRule="auto" w:after="40"/>
            </w:pPr>
            <w:r>
              <w:rPr>
                <w:sz w:val="22"/>
              </w:rPr>
              <w:t>5.6</w:t>
            </w:r>
          </w:p>
        </w:tc>
        <w:tc>
          <w:tcPr>
            <w:tcW w:type="dxa" w:w="5760"/>
          </w:tcPr>
          <w:p>
            <w:pPr>
              <w:spacing w:line="276" w:lineRule="auto" w:after="40"/>
            </w:pPr>
            <w:r>
              <w:rPr>
                <w:sz w:val="22"/>
              </w:rPr>
              <w:t>Sub-120ms Edge AI Inference Latency Distribution</w:t>
            </w:r>
          </w:p>
        </w:tc>
        <w:tc>
          <w:tcPr>
            <w:tcW w:type="dxa" w:w="1440"/>
          </w:tcPr>
          <w:p>
            <w:pPr>
              <w:spacing w:line="276" w:lineRule="auto" w:after="40"/>
              <w:jc w:val="right"/>
            </w:pPr>
            <w:r>
              <w:rPr>
                <w:sz w:val="22"/>
              </w:rPr>
              <w:t>73</w:t>
            </w:r>
          </w:p>
        </w:tc>
      </w:tr>
    </w:tbl>
    <w:p>
      <w:r>
        <w:br w:type="page"/>
      </w:r>
    </w:p>
    <w:p>
      <w:pPr>
        <w:spacing w:before="240" w:after="320"/>
        <w:jc w:val="center"/>
      </w:pPr>
      <w:r>
        <w:rPr>
          <w:b/>
          <w:sz w:val="32"/>
        </w:rPr>
        <w:t>LIST OF TABLES</w:t>
      </w:r>
    </w:p>
    <w:tbl>
      <w:tblPr>
        <w:tblW w:type="auto" w:w="0"/>
        <w:jc w:val="center"/>
        <w:tblLook w:firstColumn="1" w:firstRow="1" w:lastColumn="0" w:lastRow="0" w:noHBand="0" w:noVBand="1" w:val="04A0"/>
      </w:tblPr>
      <w:tblGrid>
        <w:gridCol w:w="3000"/>
        <w:gridCol w:w="3000"/>
        <w:gridCol w:w="3000"/>
      </w:tblGrid>
      <w:tr>
        <w:tc>
          <w:tcPr>
            <w:tcW w:type="dxa" w:w="1152"/>
          </w:tcPr>
          <w:p>
            <w:r>
              <w:rPr>
                <w:b/>
              </w:rPr>
              <w:t>S.No</w:t>
            </w:r>
          </w:p>
        </w:tc>
        <w:tc>
          <w:tcPr>
            <w:tcW w:type="dxa" w:w="5760"/>
          </w:tcPr>
          <w:p>
            <w:r>
              <w:rPr>
                <w:b/>
              </w:rPr>
              <w:t>NAME OF TABLE</w:t>
            </w:r>
          </w:p>
        </w:tc>
        <w:tc>
          <w:tcPr>
            <w:tcW w:type="dxa" w:w="1440"/>
          </w:tcPr>
          <w:p>
            <w:pPr>
              <w:jc w:val="right"/>
            </w:pPr>
            <w:r>
              <w:rPr>
                <w:b/>
              </w:rPr>
              <w:t>PAGE.No</w:t>
            </w:r>
          </w:p>
        </w:tc>
      </w:tr>
      <w:tr>
        <w:tc>
          <w:tcPr>
            <w:tcW w:type="dxa" w:w="1152"/>
          </w:tcPr>
          <w:p>
            <w:pPr>
              <w:spacing w:line="276" w:lineRule="auto" w:after="40"/>
            </w:pPr>
            <w:r>
              <w:rPr>
                <w:sz w:val="22"/>
              </w:rPr>
              <w:t>1.1</w:t>
            </w:r>
          </w:p>
        </w:tc>
        <w:tc>
          <w:tcPr>
            <w:tcW w:type="dxa" w:w="5760"/>
          </w:tcPr>
          <w:p>
            <w:pPr>
              <w:spacing w:line="276" w:lineRule="auto" w:after="40"/>
            </w:pPr>
            <w:r>
              <w:rPr>
                <w:sz w:val="22"/>
              </w:rPr>
              <w:t>Comparison of Conventional Clinical Triage vs Edge AI</w:t>
            </w:r>
          </w:p>
        </w:tc>
        <w:tc>
          <w:tcPr>
            <w:tcW w:type="dxa" w:w="1440"/>
          </w:tcPr>
          <w:p>
            <w:pPr>
              <w:spacing w:line="276" w:lineRule="auto" w:after="40"/>
              <w:jc w:val="right"/>
            </w:pPr>
            <w:r>
              <w:rPr>
                <w:sz w:val="22"/>
              </w:rPr>
              <w:t>04</w:t>
            </w:r>
          </w:p>
        </w:tc>
      </w:tr>
      <w:tr>
        <w:tc>
          <w:tcPr>
            <w:tcW w:type="dxa" w:w="1152"/>
          </w:tcPr>
          <w:p>
            <w:pPr>
              <w:spacing w:line="276" w:lineRule="auto" w:after="40"/>
            </w:pPr>
            <w:r>
              <w:rPr>
                <w:sz w:val="22"/>
              </w:rPr>
              <w:t>1.2</w:t>
            </w:r>
          </w:p>
        </w:tc>
        <w:tc>
          <w:tcPr>
            <w:tcW w:type="dxa" w:w="5760"/>
          </w:tcPr>
          <w:p>
            <w:pPr>
              <w:spacing w:line="276" w:lineRule="auto" w:after="40"/>
            </w:pPr>
            <w:r>
              <w:rPr>
                <w:sz w:val="22"/>
              </w:rPr>
              <w:t>Applications and Core Benefits of the SynDx Platform</w:t>
            </w:r>
          </w:p>
        </w:tc>
        <w:tc>
          <w:tcPr>
            <w:tcW w:type="dxa" w:w="1440"/>
          </w:tcPr>
          <w:p>
            <w:pPr>
              <w:spacing w:line="276" w:lineRule="auto" w:after="40"/>
              <w:jc w:val="right"/>
            </w:pPr>
            <w:r>
              <w:rPr>
                <w:sz w:val="22"/>
              </w:rPr>
              <w:t>11</w:t>
            </w:r>
          </w:p>
        </w:tc>
      </w:tr>
      <w:tr>
        <w:tc>
          <w:tcPr>
            <w:tcW w:type="dxa" w:w="1152"/>
          </w:tcPr>
          <w:p>
            <w:pPr>
              <w:spacing w:line="276" w:lineRule="auto" w:after="40"/>
            </w:pPr>
            <w:r>
              <w:rPr>
                <w:sz w:val="22"/>
              </w:rPr>
              <w:t>2.1</w:t>
            </w:r>
          </w:p>
        </w:tc>
        <w:tc>
          <w:tcPr>
            <w:tcW w:type="dxa" w:w="5760"/>
          </w:tcPr>
          <w:p>
            <w:pPr>
              <w:spacing w:line="276" w:lineRule="auto" w:after="40"/>
            </w:pPr>
            <w:r>
              <w:rPr>
                <w:sz w:val="22"/>
              </w:rPr>
              <w:t>Major Ontological Repositories for Rare Disease Phenotyping</w:t>
            </w:r>
          </w:p>
        </w:tc>
        <w:tc>
          <w:tcPr>
            <w:tcW w:type="dxa" w:w="1440"/>
          </w:tcPr>
          <w:p>
            <w:pPr>
              <w:spacing w:line="276" w:lineRule="auto" w:after="40"/>
              <w:jc w:val="right"/>
            </w:pPr>
            <w:r>
              <w:rPr>
                <w:sz w:val="22"/>
              </w:rPr>
              <w:t>17</w:t>
            </w:r>
          </w:p>
        </w:tc>
      </w:tr>
      <w:tr>
        <w:tc>
          <w:tcPr>
            <w:tcW w:type="dxa" w:w="1152"/>
          </w:tcPr>
          <w:p>
            <w:pPr>
              <w:spacing w:line="276" w:lineRule="auto" w:after="40"/>
            </w:pPr>
            <w:r>
              <w:rPr>
                <w:sz w:val="22"/>
              </w:rPr>
              <w:t>2.2</w:t>
            </w:r>
          </w:p>
        </w:tc>
        <w:tc>
          <w:tcPr>
            <w:tcW w:type="dxa" w:w="5760"/>
          </w:tcPr>
          <w:p>
            <w:pPr>
              <w:spacing w:line="276" w:lineRule="auto" w:after="40"/>
            </w:pPr>
            <w:r>
              <w:rPr>
                <w:sz w:val="22"/>
              </w:rPr>
              <w:t>Comparative Evaluation of Modern Clinical Triage Systems</w:t>
            </w:r>
          </w:p>
        </w:tc>
        <w:tc>
          <w:tcPr>
            <w:tcW w:type="dxa" w:w="1440"/>
          </w:tcPr>
          <w:p>
            <w:pPr>
              <w:spacing w:line="276" w:lineRule="auto" w:after="40"/>
              <w:jc w:val="right"/>
            </w:pPr>
            <w:r>
              <w:rPr>
                <w:sz w:val="22"/>
              </w:rPr>
              <w:t>28</w:t>
            </w:r>
          </w:p>
        </w:tc>
      </w:tr>
      <w:tr>
        <w:tc>
          <w:tcPr>
            <w:tcW w:type="dxa" w:w="1152"/>
          </w:tcPr>
          <w:p>
            <w:pPr>
              <w:spacing w:line="276" w:lineRule="auto" w:after="40"/>
            </w:pPr>
            <w:r>
              <w:rPr>
                <w:sz w:val="22"/>
              </w:rPr>
              <w:t>3.1</w:t>
            </w:r>
          </w:p>
        </w:tc>
        <w:tc>
          <w:tcPr>
            <w:tcW w:type="dxa" w:w="5760"/>
          </w:tcPr>
          <w:p>
            <w:pPr>
              <w:spacing w:line="276" w:lineRule="auto" w:after="40"/>
            </w:pPr>
            <w:r>
              <w:rPr>
                <w:sz w:val="22"/>
              </w:rPr>
              <w:t>SynDx Development Tools and Core Software Stack</w:t>
            </w:r>
          </w:p>
        </w:tc>
        <w:tc>
          <w:tcPr>
            <w:tcW w:type="dxa" w:w="1440"/>
          </w:tcPr>
          <w:p>
            <w:pPr>
              <w:spacing w:line="276" w:lineRule="auto" w:after="40"/>
              <w:jc w:val="right"/>
            </w:pPr>
            <w:r>
              <w:rPr>
                <w:sz w:val="22"/>
              </w:rPr>
              <w:t>30</w:t>
            </w:r>
          </w:p>
        </w:tc>
      </w:tr>
      <w:tr>
        <w:tc>
          <w:tcPr>
            <w:tcW w:type="dxa" w:w="1152"/>
          </w:tcPr>
          <w:p>
            <w:pPr>
              <w:spacing w:line="276" w:lineRule="auto" w:after="40"/>
            </w:pPr>
            <w:r>
              <w:rPr>
                <w:sz w:val="22"/>
              </w:rPr>
              <w:t>3.2</w:t>
            </w:r>
          </w:p>
        </w:tc>
        <w:tc>
          <w:tcPr>
            <w:tcW w:type="dxa" w:w="5760"/>
          </w:tcPr>
          <w:p>
            <w:pPr>
              <w:spacing w:line="276" w:lineRule="auto" w:after="40"/>
            </w:pPr>
            <w:r>
              <w:rPr>
                <w:sz w:val="22"/>
              </w:rPr>
              <w:t>Deterministic Emergency Interlock Physiological Thresholds</w:t>
            </w:r>
          </w:p>
        </w:tc>
        <w:tc>
          <w:tcPr>
            <w:tcW w:type="dxa" w:w="1440"/>
          </w:tcPr>
          <w:p>
            <w:pPr>
              <w:spacing w:line="276" w:lineRule="auto" w:after="40"/>
              <w:jc w:val="right"/>
            </w:pPr>
            <w:r>
              <w:rPr>
                <w:sz w:val="22"/>
              </w:rPr>
              <w:t>39</w:t>
            </w:r>
          </w:p>
        </w:tc>
      </w:tr>
      <w:tr>
        <w:tc>
          <w:tcPr>
            <w:tcW w:type="dxa" w:w="1152"/>
          </w:tcPr>
          <w:p>
            <w:pPr>
              <w:spacing w:line="276" w:lineRule="auto" w:after="40"/>
            </w:pPr>
            <w:r>
              <w:rPr>
                <w:sz w:val="22"/>
              </w:rPr>
              <w:t>3.3</w:t>
            </w:r>
          </w:p>
        </w:tc>
        <w:tc>
          <w:tcPr>
            <w:tcW w:type="dxa" w:w="5760"/>
          </w:tcPr>
          <w:p>
            <w:pPr>
              <w:spacing w:line="276" w:lineRule="auto" w:after="40"/>
            </w:pPr>
            <w:r>
              <w:rPr>
                <w:sz w:val="22"/>
              </w:rPr>
              <w:t>Specialized Regional Tertiary Referral Facilities</w:t>
            </w:r>
          </w:p>
        </w:tc>
        <w:tc>
          <w:tcPr>
            <w:tcW w:type="dxa" w:w="1440"/>
          </w:tcPr>
          <w:p>
            <w:pPr>
              <w:spacing w:line="276" w:lineRule="auto" w:after="40"/>
              <w:jc w:val="right"/>
            </w:pPr>
            <w:r>
              <w:rPr>
                <w:sz w:val="22"/>
              </w:rPr>
              <w:t>42</w:t>
            </w:r>
          </w:p>
        </w:tc>
      </w:tr>
      <w:tr>
        <w:tc>
          <w:tcPr>
            <w:tcW w:type="dxa" w:w="1152"/>
          </w:tcPr>
          <w:p>
            <w:pPr>
              <w:spacing w:line="276" w:lineRule="auto" w:after="40"/>
            </w:pPr>
            <w:r>
              <w:rPr>
                <w:sz w:val="22"/>
              </w:rPr>
              <w:t>4.1</w:t>
            </w:r>
          </w:p>
        </w:tc>
        <w:tc>
          <w:tcPr>
            <w:tcW w:type="dxa" w:w="5760"/>
          </w:tcPr>
          <w:p>
            <w:pPr>
              <w:spacing w:line="276" w:lineRule="auto" w:after="40"/>
            </w:pPr>
            <w:r>
              <w:rPr>
                <w:sz w:val="22"/>
              </w:rPr>
              <w:t>Wilson Disease Cohort Partitioning Protocol</w:t>
            </w:r>
          </w:p>
        </w:tc>
        <w:tc>
          <w:tcPr>
            <w:tcW w:type="dxa" w:w="1440"/>
          </w:tcPr>
          <w:p>
            <w:pPr>
              <w:spacing w:line="276" w:lineRule="auto" w:after="40"/>
              <w:jc w:val="right"/>
            </w:pPr>
            <w:r>
              <w:rPr>
                <w:sz w:val="22"/>
              </w:rPr>
              <w:t>48</w:t>
            </w:r>
          </w:p>
        </w:tc>
      </w:tr>
      <w:tr>
        <w:tc>
          <w:tcPr>
            <w:tcW w:type="dxa" w:w="1152"/>
          </w:tcPr>
          <w:p>
            <w:pPr>
              <w:spacing w:line="276" w:lineRule="auto" w:after="40"/>
            </w:pPr>
            <w:r>
              <w:rPr>
                <w:sz w:val="22"/>
              </w:rPr>
              <w:t>4.2</w:t>
            </w:r>
          </w:p>
        </w:tc>
        <w:tc>
          <w:tcPr>
            <w:tcW w:type="dxa" w:w="5760"/>
          </w:tcPr>
          <w:p>
            <w:pPr>
              <w:spacing w:line="276" w:lineRule="auto" w:after="40"/>
            </w:pPr>
            <w:r>
              <w:rPr>
                <w:sz w:val="22"/>
              </w:rPr>
              <w:t>Baseline Machine Learning Hyperparameter Specifications</w:t>
            </w:r>
          </w:p>
        </w:tc>
        <w:tc>
          <w:tcPr>
            <w:tcW w:type="dxa" w:w="1440"/>
          </w:tcPr>
          <w:p>
            <w:pPr>
              <w:spacing w:line="276" w:lineRule="auto" w:after="40"/>
              <w:jc w:val="right"/>
            </w:pPr>
            <w:r>
              <w:rPr>
                <w:sz w:val="22"/>
              </w:rPr>
              <w:t>50</w:t>
            </w:r>
          </w:p>
        </w:tc>
      </w:tr>
      <w:tr>
        <w:tc>
          <w:tcPr>
            <w:tcW w:type="dxa" w:w="1152"/>
          </w:tcPr>
          <w:p>
            <w:pPr>
              <w:spacing w:line="276" w:lineRule="auto" w:after="40"/>
            </w:pPr>
            <w:r>
              <w:rPr>
                <w:sz w:val="22"/>
              </w:rPr>
              <w:t>5.1</w:t>
            </w:r>
          </w:p>
        </w:tc>
        <w:tc>
          <w:tcPr>
            <w:tcW w:type="dxa" w:w="5760"/>
          </w:tcPr>
          <w:p>
            <w:pPr>
              <w:spacing w:line="276" w:lineRule="auto" w:after="40"/>
            </w:pPr>
            <w:r>
              <w:rPr>
                <w:sz w:val="22"/>
              </w:rPr>
              <w:t>Cross-Model Validation Benchmark Metrics</w:t>
            </w:r>
          </w:p>
        </w:tc>
        <w:tc>
          <w:tcPr>
            <w:tcW w:type="dxa" w:w="1440"/>
          </w:tcPr>
          <w:p>
            <w:pPr>
              <w:spacing w:line="276" w:lineRule="auto" w:after="40"/>
              <w:jc w:val="right"/>
            </w:pPr>
            <w:r>
              <w:rPr>
                <w:sz w:val="22"/>
              </w:rPr>
              <w:t>67</w:t>
            </w:r>
          </w:p>
        </w:tc>
      </w:tr>
      <w:tr>
        <w:tc>
          <w:tcPr>
            <w:tcW w:type="dxa" w:w="1152"/>
          </w:tcPr>
          <w:p>
            <w:pPr>
              <w:spacing w:line="276" w:lineRule="auto" w:after="40"/>
            </w:pPr>
            <w:r>
              <w:rPr>
                <w:sz w:val="22"/>
              </w:rPr>
              <w:t>5.2</w:t>
            </w:r>
          </w:p>
        </w:tc>
        <w:tc>
          <w:tcPr>
            <w:tcW w:type="dxa" w:w="5760"/>
          </w:tcPr>
          <w:p>
            <w:pPr>
              <w:spacing w:line="276" w:lineRule="auto" w:after="40"/>
            </w:pPr>
            <w:r>
              <w:rPr>
                <w:sz w:val="22"/>
              </w:rPr>
              <w:t>Sensitivity, Specificity, and Balanced Accuracy Disparity</w:t>
            </w:r>
          </w:p>
        </w:tc>
        <w:tc>
          <w:tcPr>
            <w:tcW w:type="dxa" w:w="1440"/>
          </w:tcPr>
          <w:p>
            <w:pPr>
              <w:spacing w:line="276" w:lineRule="auto" w:after="40"/>
              <w:jc w:val="right"/>
            </w:pPr>
            <w:r>
              <w:rPr>
                <w:sz w:val="22"/>
              </w:rPr>
              <w:t>68</w:t>
            </w:r>
          </w:p>
        </w:tc>
      </w:tr>
      <w:tr>
        <w:tc>
          <w:tcPr>
            <w:tcW w:type="dxa" w:w="1152"/>
          </w:tcPr>
          <w:p>
            <w:pPr>
              <w:spacing w:line="276" w:lineRule="auto" w:after="40"/>
            </w:pPr>
            <w:r>
              <w:rPr>
                <w:sz w:val="22"/>
              </w:rPr>
              <w:t>5.3</w:t>
            </w:r>
          </w:p>
        </w:tc>
        <w:tc>
          <w:tcPr>
            <w:tcW w:type="dxa" w:w="5760"/>
          </w:tcPr>
          <w:p>
            <w:pPr>
              <w:spacing w:line="276" w:lineRule="auto" w:after="40"/>
            </w:pPr>
            <w:r>
              <w:rPr>
                <w:sz w:val="22"/>
              </w:rPr>
              <w:t>Edge Runtime Execution Latency and Profiling</w:t>
            </w:r>
          </w:p>
        </w:tc>
        <w:tc>
          <w:tcPr>
            <w:tcW w:type="dxa" w:w="1440"/>
          </w:tcPr>
          <w:p>
            <w:pPr>
              <w:spacing w:line="276" w:lineRule="auto" w:after="40"/>
              <w:jc w:val="right"/>
            </w:pPr>
            <w:r>
              <w:rPr>
                <w:sz w:val="22"/>
              </w:rPr>
              <w:t>71</w:t>
            </w:r>
          </w:p>
        </w:tc>
      </w:tr>
      <w:tr>
        <w:tc>
          <w:tcPr>
            <w:tcW w:type="dxa" w:w="1152"/>
          </w:tcPr>
          <w:p>
            <w:pPr>
              <w:spacing w:line="276" w:lineRule="auto" w:after="40"/>
            </w:pPr>
            <w:r>
              <w:rPr>
                <w:sz w:val="22"/>
              </w:rPr>
              <w:t>5.4</w:t>
            </w:r>
          </w:p>
        </w:tc>
        <w:tc>
          <w:tcPr>
            <w:tcW w:type="dxa" w:w="5760"/>
          </w:tcPr>
          <w:p>
            <w:pPr>
              <w:spacing w:line="276" w:lineRule="auto" w:after="40"/>
            </w:pPr>
            <w:r>
              <w:rPr>
                <w:sz w:val="22"/>
              </w:rPr>
              <w:t>Empirical Validation Across 4 Hallmark Rare Disease Archetypes</w:t>
            </w:r>
          </w:p>
        </w:tc>
        <w:tc>
          <w:tcPr>
            <w:tcW w:type="dxa" w:w="1440"/>
          </w:tcPr>
          <w:p>
            <w:pPr>
              <w:spacing w:line="276" w:lineRule="auto" w:after="40"/>
              <w:jc w:val="right"/>
            </w:pPr>
            <w:r>
              <w:rPr>
                <w:sz w:val="22"/>
              </w:rPr>
              <w:t>75</w:t>
            </w:r>
          </w:p>
        </w:tc>
      </w:tr>
    </w:tbl>
    <w:p>
      <w:r>
        <w:br w:type="page"/>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