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6F1AC" w14:textId="3A92CD05" w:rsidR="003238AA" w:rsidRDefault="009F264E">
      <w:pPr>
        <w:spacing w:after="200" w:line="360" w:lineRule="auto"/>
        <w:ind w:left="-540"/>
        <w:jc w:val="both"/>
        <w:rPr>
          <w:rFonts w:ascii="Times New Roman" w:eastAsia="Times New Roman" w:hAnsi="Times New Roman" w:cs="Times New Roman"/>
          <w:b/>
          <w:sz w:val="24"/>
          <w:szCs w:val="24"/>
        </w:rPr>
      </w:pPr>
      <w:r w:rsidRPr="009F264E">
        <w:rPr>
          <w:b/>
          <w:bCs/>
        </w:rPr>
        <w:t>Supplementary Methods</w:t>
      </w:r>
    </w:p>
    <w:p w14:paraId="7FC6F1AD" w14:textId="5FC3A321"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sz w:val="24"/>
          <w:szCs w:val="24"/>
        </w:rPr>
        <w:t>Supplementary Method 1:</w:t>
      </w:r>
      <w:r w:rsidR="00130C6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Patient samples and whole exome sequencing</w:t>
      </w:r>
    </w:p>
    <w:p w14:paraId="7FC6F1AE"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involved patients diagnosed with Wilson's Disease who had achieved a Leipzig score of 3 or higher</w:t>
      </w:r>
      <w:hyperlink r:id="rId4">
        <w:r>
          <w:rPr>
            <w:rFonts w:ascii="Times New Roman" w:eastAsia="Times New Roman" w:hAnsi="Times New Roman" w:cs="Times New Roman"/>
            <w:sz w:val="24"/>
            <w:szCs w:val="24"/>
            <w:vertAlign w:val="superscript"/>
          </w:rPr>
          <w:t>11</w:t>
        </w:r>
      </w:hyperlink>
      <w:r>
        <w:rPr>
          <w:rFonts w:ascii="Times New Roman" w:eastAsia="Times New Roman" w:hAnsi="Times New Roman" w:cs="Times New Roman"/>
          <w:sz w:val="24"/>
          <w:szCs w:val="24"/>
        </w:rPr>
        <w:t xml:space="preserve"> and were undergoing treatment and follow-up at various hospitals across India through the iCROWD consortium (Supplementary Figure S1). The iCROWD consortium aims to use cutting-edge genomics technology to identify genetic variations in WD. All participants or their parents provided their informed written consent (in the case of minors). The study was approved by the Council of Scientific &amp; Industrial Research (CSIR)-Institute of Genomics and Integrative Biology (IGIB), New Delhi, India (Ref no: CSIR/IHEC/2017-18, CSIR/IHEC/2018-19/IndiGen, CSIR/IHEC/2018-2020/</w:t>
      </w:r>
      <w:proofErr w:type="spellStart"/>
      <w:r>
        <w:rPr>
          <w:rFonts w:ascii="Times New Roman" w:eastAsia="Times New Roman" w:hAnsi="Times New Roman" w:cs="Times New Roman"/>
          <w:sz w:val="24"/>
          <w:szCs w:val="24"/>
        </w:rPr>
        <w:t>RareGen</w:t>
      </w:r>
      <w:proofErr w:type="spellEnd"/>
      <w:r>
        <w:rPr>
          <w:rFonts w:ascii="Times New Roman" w:eastAsia="Times New Roman" w:hAnsi="Times New Roman" w:cs="Times New Roman"/>
          <w:sz w:val="24"/>
          <w:szCs w:val="24"/>
        </w:rPr>
        <w:t xml:space="preserve">) and respective clinical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Whole-exome sequencing (WES) was performed for 128 enrolled patients using the Illumina </w:t>
      </w:r>
      <w:proofErr w:type="spellStart"/>
      <w:r>
        <w:rPr>
          <w:rFonts w:ascii="Times New Roman" w:eastAsia="Times New Roman" w:hAnsi="Times New Roman" w:cs="Times New Roman"/>
          <w:sz w:val="24"/>
          <w:szCs w:val="24"/>
        </w:rPr>
        <w:t>NovaSeq</w:t>
      </w:r>
      <w:proofErr w:type="spellEnd"/>
      <w:r>
        <w:rPr>
          <w:rFonts w:ascii="Times New Roman" w:eastAsia="Times New Roman" w:hAnsi="Times New Roman" w:cs="Times New Roman"/>
          <w:sz w:val="24"/>
          <w:szCs w:val="24"/>
        </w:rPr>
        <w:t xml:space="preserve"> 6000 and Twist-Comprehensive Exome Panel kits. Biotinylated RNA capture baits were used to obtain the exome and the retrieved fragments were sequenced on NovaSeq600 using 150 bp paired-end reads. The read qualities were assessed using </w:t>
      </w:r>
      <w:proofErr w:type="spellStart"/>
      <w:r>
        <w:rPr>
          <w:rFonts w:ascii="Times New Roman" w:eastAsia="Times New Roman" w:hAnsi="Times New Roman" w:cs="Times New Roman"/>
          <w:sz w:val="24"/>
          <w:szCs w:val="24"/>
        </w:rPr>
        <w:t>FastQC</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Trimmomatic</w:t>
      </w:r>
      <w:proofErr w:type="spellEnd"/>
      <w:r>
        <w:rPr>
          <w:rFonts w:ascii="Times New Roman" w:eastAsia="Times New Roman" w:hAnsi="Times New Roman" w:cs="Times New Roman"/>
          <w:sz w:val="24"/>
          <w:szCs w:val="24"/>
        </w:rPr>
        <w:t xml:space="preserve"> and the processed data were aligned to the reference genome hg38. Variants were called, and base quality scores were recalculated. Local realignment was performed using the gold-standard GATK pipeline, utilizing known variants and indel lists for alignment guidance.</w:t>
      </w:r>
    </w:p>
    <w:p w14:paraId="7FC6F1B2" w14:textId="63F8D9EE" w:rsidR="003238AA" w:rsidRDefault="003238AA">
      <w:pPr>
        <w:spacing w:after="200" w:line="360" w:lineRule="auto"/>
        <w:ind w:left="-540"/>
        <w:jc w:val="both"/>
        <w:rPr>
          <w:rFonts w:ascii="Times New Roman" w:eastAsia="Times New Roman" w:hAnsi="Times New Roman" w:cs="Times New Roman"/>
          <w:sz w:val="24"/>
          <w:szCs w:val="24"/>
        </w:rPr>
      </w:pPr>
    </w:p>
    <w:p w14:paraId="7FC6F1B3"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Prevalence and carrier rate based on the </w:t>
      </w:r>
      <w:proofErr w:type="spellStart"/>
      <w:r>
        <w:rPr>
          <w:rFonts w:ascii="Times New Roman" w:eastAsia="Times New Roman" w:hAnsi="Times New Roman" w:cs="Times New Roman"/>
          <w:b/>
          <w:sz w:val="24"/>
          <w:szCs w:val="24"/>
        </w:rPr>
        <w:t>IndiGenomes</w:t>
      </w:r>
      <w:proofErr w:type="spellEnd"/>
      <w:r>
        <w:rPr>
          <w:rFonts w:ascii="Times New Roman" w:eastAsia="Times New Roman" w:hAnsi="Times New Roman" w:cs="Times New Roman"/>
          <w:b/>
          <w:sz w:val="24"/>
          <w:szCs w:val="24"/>
        </w:rPr>
        <w:t xml:space="preserve"> dataset</w:t>
      </w:r>
    </w:p>
    <w:p w14:paraId="7FC6F1B4"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calculate the prevalence and the carrier frequency of WD in the Indian population, we classified the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variants according to the ACMG and AMP guidelines reported in IndiGen data, including 1029 healthy controls. The data containing likely pathogenic and pathogenic mutations were used to estimate the prevalence and carrier rate by the Hardy-Weinberg equilibrium principle. According to this principle, in the absence of disturbing factors, the genetic variation in a population will remain constant from one generation to the next. The following equation was used; where p</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q</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2pq are homozygous genotypes normal, homozygous genotype diseased and heterozygous carriers, respectively.</w:t>
      </w:r>
    </w:p>
    <w:p w14:paraId="7FC6F1B5" w14:textId="77777777" w:rsidR="003238AA" w:rsidRDefault="009F264E">
      <w:pPr>
        <w:spacing w:after="200" w:line="360" w:lineRule="auto"/>
        <w:ind w:left="-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+ 2pq + q</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Hardy-Weinberg equation)</w:t>
      </w:r>
    </w:p>
    <w:p w14:paraId="7FC6F1B6"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Structural variant (SV) analysis in patients </w:t>
      </w:r>
    </w:p>
    <w:p w14:paraId="7FC6F1B7"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Whole exome sequencing was utilized to point out single nucleotide variants (SNVs) and small </w:t>
      </w:r>
      <w:proofErr w:type="spellStart"/>
      <w:r>
        <w:rPr>
          <w:rFonts w:ascii="Times New Roman" w:eastAsia="Times New Roman" w:hAnsi="Times New Roman" w:cs="Times New Roman"/>
          <w:sz w:val="24"/>
          <w:szCs w:val="24"/>
        </w:rPr>
        <w:t>InDels</w:t>
      </w:r>
      <w:proofErr w:type="spellEnd"/>
      <w:r>
        <w:rPr>
          <w:rFonts w:ascii="Times New Roman" w:eastAsia="Times New Roman" w:hAnsi="Times New Roman" w:cs="Times New Roman"/>
          <w:sz w:val="24"/>
          <w:szCs w:val="24"/>
        </w:rPr>
        <w:t xml:space="preserve">. It leaves intermediate insertions and deletions that are specifically difficult to identify, hence patients with SVs, greater than 50 bps in size undetected by conventional WES analysis and often remain misdiagnosed. To resolve the suspicion of structural variations (SVs) in patient samples, we used the SV calling pipeline of the </w:t>
      </w:r>
      <w:proofErr w:type="spellStart"/>
      <w:r>
        <w:rPr>
          <w:rFonts w:ascii="Times New Roman" w:eastAsia="Times New Roman" w:hAnsi="Times New Roman" w:cs="Times New Roman"/>
          <w:sz w:val="24"/>
          <w:szCs w:val="24"/>
        </w:rPr>
        <w:t>InDelible</w:t>
      </w:r>
      <w:proofErr w:type="spellEnd"/>
      <w:r>
        <w:rPr>
          <w:rFonts w:ascii="Times New Roman" w:eastAsia="Times New Roman" w:hAnsi="Times New Roman" w:cs="Times New Roman"/>
          <w:sz w:val="24"/>
          <w:szCs w:val="24"/>
        </w:rPr>
        <w:t xml:space="preserve"> tool written in Python on the singularity platform</w:t>
      </w:r>
      <w:hyperlink r:id="rId5">
        <w:r>
          <w:rPr>
            <w:rFonts w:ascii="Times New Roman" w:eastAsia="Times New Roman" w:hAnsi="Times New Roman" w:cs="Times New Roman"/>
            <w:sz w:val="24"/>
            <w:szCs w:val="24"/>
            <w:vertAlign w:val="superscript"/>
          </w:rPr>
          <w:t>12</w:t>
        </w:r>
      </w:hyperlink>
      <w:r>
        <w:rPr>
          <w:rFonts w:ascii="Times New Roman" w:eastAsia="Times New Roman" w:hAnsi="Times New Roman" w:cs="Times New Roman"/>
          <w:sz w:val="24"/>
          <w:szCs w:val="24"/>
        </w:rPr>
        <w:t xml:space="preserve">.  By deploying this computational approach, the WES data were processed to discover SVs. This pipeline utilizes 5 steps; fetching the soft-clipped reads, aggregating the pieces of information across reads to find clipped reads positions, scoring the positions of the clipped reads using a random forest model based on the quality as well as sequence context of clipped reads, generating the allele frequency and breakpoint database and annotating the SVs with gene and database details. SVs were refined using a recommended set of filters sequentially. </w:t>
      </w:r>
    </w:p>
    <w:p w14:paraId="7FC6F1B8"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Molecular dynamic (MD) simulation of VUS (Variant of Uncertain Significance) mutations</w:t>
      </w:r>
    </w:p>
    <w:p w14:paraId="7FC6F1B9"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determine the structural effects of variants of uncertain significance (VUS), the predicted protein structure of human ATP7B was sourced from the AlphaFold protein structure database, developed by DeepMind and EMBL-EBI</w:t>
      </w:r>
      <w:hyperlink r:id="rId6">
        <w:r>
          <w:rPr>
            <w:rFonts w:ascii="Times New Roman" w:eastAsia="Times New Roman" w:hAnsi="Times New Roman" w:cs="Times New Roman"/>
            <w:sz w:val="24"/>
            <w:szCs w:val="24"/>
            <w:vertAlign w:val="superscript"/>
          </w:rPr>
          <w:t>13,14</w:t>
        </w:r>
      </w:hyperlink>
      <w:r>
        <w:rPr>
          <w:rFonts w:ascii="Times New Roman" w:eastAsia="Times New Roman" w:hAnsi="Times New Roman" w:cs="Times New Roman"/>
          <w:sz w:val="24"/>
          <w:szCs w:val="24"/>
        </w:rPr>
        <w:t xml:space="preserve">. The human ATP7B protein consists of 1465 amino acids obtained from the </w:t>
      </w:r>
      <w:proofErr w:type="spellStart"/>
      <w:r>
        <w:rPr>
          <w:rFonts w:ascii="Times New Roman" w:eastAsia="Times New Roman" w:hAnsi="Times New Roman" w:cs="Times New Roman"/>
          <w:sz w:val="24"/>
          <w:szCs w:val="24"/>
        </w:rPr>
        <w:t>UniProt</w:t>
      </w:r>
      <w:proofErr w:type="spellEnd"/>
      <w:r>
        <w:rPr>
          <w:rFonts w:ascii="Times New Roman" w:eastAsia="Times New Roman" w:hAnsi="Times New Roman" w:cs="Times New Roman"/>
          <w:sz w:val="24"/>
          <w:szCs w:val="24"/>
        </w:rPr>
        <w:t xml:space="preserve"> database (P35670). The ATP7B mutants were generated by </w:t>
      </w:r>
      <w:proofErr w:type="spellStart"/>
      <w:r>
        <w:rPr>
          <w:rFonts w:ascii="Times New Roman" w:eastAsia="Times New Roman" w:hAnsi="Times New Roman" w:cs="Times New Roman"/>
          <w:sz w:val="24"/>
          <w:szCs w:val="24"/>
        </w:rPr>
        <w:t>WinCoot</w:t>
      </w:r>
      <w:proofErr w:type="spellEnd"/>
      <w:r>
        <w:rPr>
          <w:rFonts w:ascii="Times New Roman" w:eastAsia="Times New Roman" w:hAnsi="Times New Roman" w:cs="Times New Roman"/>
          <w:sz w:val="24"/>
          <w:szCs w:val="24"/>
        </w:rPr>
        <w:t xml:space="preserve"> visualization tool</w:t>
      </w:r>
      <w:hyperlink r:id="rId7">
        <w:r>
          <w:rPr>
            <w:rFonts w:ascii="Times New Roman" w:eastAsia="Times New Roman" w:hAnsi="Times New Roman" w:cs="Times New Roman"/>
            <w:sz w:val="24"/>
            <w:szCs w:val="24"/>
            <w:vertAlign w:val="superscript"/>
          </w:rPr>
          <w:t>15</w:t>
        </w:r>
      </w:hyperlink>
      <w:r>
        <w:rPr>
          <w:rFonts w:ascii="Times New Roman" w:eastAsia="Times New Roman" w:hAnsi="Times New Roman" w:cs="Times New Roman"/>
          <w:sz w:val="24"/>
          <w:szCs w:val="24"/>
        </w:rPr>
        <w:t xml:space="preserve"> and proceeded with the protein structure refinement and energy </w:t>
      </w:r>
      <w:proofErr w:type="spellStart"/>
      <w:r>
        <w:rPr>
          <w:rFonts w:ascii="Times New Roman" w:eastAsia="Times New Roman" w:hAnsi="Times New Roman" w:cs="Times New Roman"/>
          <w:sz w:val="24"/>
          <w:szCs w:val="24"/>
        </w:rPr>
        <w:t>minimisation</w:t>
      </w:r>
      <w:proofErr w:type="spellEnd"/>
      <w:r>
        <w:rPr>
          <w:rFonts w:ascii="Times New Roman" w:eastAsia="Times New Roman" w:hAnsi="Times New Roman" w:cs="Times New Roman"/>
          <w:sz w:val="24"/>
          <w:szCs w:val="24"/>
        </w:rPr>
        <w:t xml:space="preserve">. Twelve systems were created, wild type protein (human ATP7B), p.R148W, p.G614S, p.H628R, p.G710D, p.P767L, </w:t>
      </w:r>
      <w:proofErr w:type="gramStart"/>
      <w:r>
        <w:rPr>
          <w:rFonts w:ascii="Times New Roman" w:eastAsia="Times New Roman" w:hAnsi="Times New Roman" w:cs="Times New Roman"/>
          <w:sz w:val="24"/>
          <w:szCs w:val="24"/>
        </w:rPr>
        <w:t>p.T</w:t>
      </w:r>
      <w:proofErr w:type="gramEnd"/>
      <w:r>
        <w:rPr>
          <w:rFonts w:ascii="Times New Roman" w:eastAsia="Times New Roman" w:hAnsi="Times New Roman" w:cs="Times New Roman"/>
          <w:sz w:val="24"/>
          <w:szCs w:val="24"/>
        </w:rPr>
        <w:t>807del, p.S975F, p.A1074_V1075del, p.L1299F, p.D1303A, and p.N1324S. All the structures were refined by a two-step refinement process using ModRefiner</w:t>
      </w:r>
      <w:hyperlink r:id="rId8">
        <w:r>
          <w:rPr>
            <w:rFonts w:ascii="Times New Roman" w:eastAsia="Times New Roman" w:hAnsi="Times New Roman" w:cs="Times New Roman"/>
            <w:sz w:val="24"/>
            <w:szCs w:val="24"/>
            <w:vertAlign w:val="superscript"/>
          </w:rPr>
          <w:t>15,16</w:t>
        </w:r>
      </w:hyperlink>
      <w:r>
        <w:rPr>
          <w:rFonts w:ascii="Times New Roman" w:eastAsia="Times New Roman" w:hAnsi="Times New Roman" w:cs="Times New Roman"/>
          <w:sz w:val="24"/>
          <w:szCs w:val="24"/>
        </w:rPr>
        <w:t xml:space="preserve"> and GalaxyRefine</w:t>
      </w:r>
      <w:hyperlink r:id="rId9">
        <w:r>
          <w:rPr>
            <w:rFonts w:ascii="Times New Roman" w:eastAsia="Times New Roman" w:hAnsi="Times New Roman" w:cs="Times New Roman"/>
            <w:sz w:val="24"/>
            <w:szCs w:val="24"/>
            <w:vertAlign w:val="superscript"/>
          </w:rPr>
          <w:t>17,18</w:t>
        </w:r>
      </w:hyperlink>
      <w:r>
        <w:rPr>
          <w:rFonts w:ascii="Times New Roman" w:eastAsia="Times New Roman" w:hAnsi="Times New Roman" w:cs="Times New Roman"/>
          <w:sz w:val="24"/>
          <w:szCs w:val="24"/>
        </w:rPr>
        <w:t xml:space="preserve">  freely available protein structure refinement web servers. The refined structures were validated for the overall quality of model</w:t>
      </w:r>
      <w:hyperlink r:id="rId10">
        <w:r>
          <w:rPr>
            <w:rFonts w:ascii="Times New Roman" w:eastAsia="Times New Roman" w:hAnsi="Times New Roman" w:cs="Times New Roman"/>
            <w:sz w:val="24"/>
            <w:szCs w:val="24"/>
            <w:vertAlign w:val="superscript"/>
          </w:rPr>
          <w:t>19</w:t>
        </w:r>
      </w:hyperlink>
      <w:r>
        <w:rPr>
          <w:rFonts w:ascii="Times New Roman" w:eastAsia="Times New Roman" w:hAnsi="Times New Roman" w:cs="Times New Roman"/>
          <w:sz w:val="24"/>
          <w:szCs w:val="24"/>
        </w:rPr>
        <w:t xml:space="preserve"> and Ramachandran analysis for energetically allowed and disallowed dihedral angles, psi [ψ], and phi [ϕ], of amino acids</w:t>
      </w:r>
      <w:hyperlink r:id="rId11">
        <w:r>
          <w:rPr>
            <w:rFonts w:ascii="Times New Roman" w:eastAsia="Times New Roman" w:hAnsi="Times New Roman" w:cs="Times New Roman"/>
            <w:sz w:val="24"/>
            <w:szCs w:val="24"/>
            <w:vertAlign w:val="superscript"/>
          </w:rPr>
          <w:t>20</w:t>
        </w:r>
      </w:hyperlink>
      <w:r>
        <w:rPr>
          <w:rFonts w:ascii="Times New Roman" w:eastAsia="Times New Roman" w:hAnsi="Times New Roman" w:cs="Times New Roman"/>
          <w:sz w:val="24"/>
          <w:szCs w:val="24"/>
        </w:rPr>
        <w:t xml:space="preserve">, using ERRAT and PROCHECK </w:t>
      </w:r>
      <w:proofErr w:type="spellStart"/>
      <w:r>
        <w:rPr>
          <w:rFonts w:ascii="Times New Roman" w:eastAsia="Times New Roman" w:hAnsi="Times New Roman" w:cs="Times New Roman"/>
          <w:sz w:val="24"/>
          <w:szCs w:val="24"/>
        </w:rPr>
        <w:t>programmes</w:t>
      </w:r>
      <w:proofErr w:type="spellEnd"/>
      <w:r>
        <w:rPr>
          <w:rFonts w:ascii="Times New Roman" w:eastAsia="Times New Roman" w:hAnsi="Times New Roman" w:cs="Times New Roman"/>
          <w:sz w:val="24"/>
          <w:szCs w:val="24"/>
        </w:rPr>
        <w:t xml:space="preserve"> in Structural Validation and Analysis (SAVES v.6.0) web server. All twelve refined structures were inserted into a lipid bilayer consisting of POPC molecules (16:0-18:0/16:1-18:1) in a 1:1 ratio on both leaflets using PPM 2.0 of orientations of proteins in the membrane (OPM) database in the bilayer builder of Martini Maker module</w:t>
      </w:r>
      <w:hyperlink r:id="rId12">
        <w:r>
          <w:rPr>
            <w:rFonts w:ascii="Times New Roman" w:eastAsia="Times New Roman" w:hAnsi="Times New Roman" w:cs="Times New Roman"/>
            <w:sz w:val="24"/>
            <w:szCs w:val="24"/>
            <w:vertAlign w:val="superscript"/>
          </w:rPr>
          <w:t>21</w:t>
        </w:r>
      </w:hyperlink>
      <w:r>
        <w:rPr>
          <w:rFonts w:ascii="Times New Roman" w:eastAsia="Times New Roman" w:hAnsi="Times New Roman" w:cs="Times New Roman"/>
          <w:sz w:val="24"/>
          <w:szCs w:val="24"/>
        </w:rPr>
        <w:t xml:space="preserve"> of CHARMM-GUI</w:t>
      </w:r>
      <w:hyperlink r:id="rId13">
        <w:r>
          <w:rPr>
            <w:rFonts w:ascii="Times New Roman" w:eastAsia="Times New Roman" w:hAnsi="Times New Roman" w:cs="Times New Roman"/>
            <w:sz w:val="24"/>
            <w:szCs w:val="24"/>
            <w:vertAlign w:val="superscript"/>
          </w:rPr>
          <w:t>22</w:t>
        </w:r>
      </w:hyperlink>
      <w:r>
        <w:rPr>
          <w:rFonts w:ascii="Times New Roman" w:eastAsia="Times New Roman" w:hAnsi="Times New Roman" w:cs="Times New Roman"/>
          <w:sz w:val="24"/>
          <w:szCs w:val="24"/>
        </w:rPr>
        <w:t xml:space="preserve"> and solvated with TIP3P water molecules. The total charge of the systems was neutralized by adding 0.15M NaCl using the distance ion placing method. The systems were then used for separate coarse-grain MD simulations with 5μs run in three replicates in GROMACS </w:t>
      </w:r>
      <w:r>
        <w:rPr>
          <w:rFonts w:ascii="Times New Roman" w:eastAsia="Times New Roman" w:hAnsi="Times New Roman" w:cs="Times New Roman"/>
          <w:sz w:val="24"/>
          <w:szCs w:val="24"/>
        </w:rPr>
        <w:lastRenderedPageBreak/>
        <w:t>2020.2</w:t>
      </w:r>
      <w:hyperlink r:id="rId14">
        <w:r>
          <w:rPr>
            <w:rFonts w:ascii="Times New Roman" w:eastAsia="Times New Roman" w:hAnsi="Times New Roman" w:cs="Times New Roman"/>
            <w:sz w:val="24"/>
            <w:szCs w:val="24"/>
            <w:vertAlign w:val="superscript"/>
          </w:rPr>
          <w:t>23</w:t>
        </w:r>
      </w:hyperlink>
      <w:r>
        <w:rPr>
          <w:rFonts w:ascii="Times New Roman" w:eastAsia="Times New Roman" w:hAnsi="Times New Roman" w:cs="Times New Roman"/>
          <w:sz w:val="24"/>
          <w:szCs w:val="24"/>
        </w:rPr>
        <w:t xml:space="preserve">.  The systems were energy minimized in two steps using the standard steepest descent method. The equilibrations were carried out in five steps using a V-rescale thermostat and a Berendsen semi-isotropic </w:t>
      </w:r>
      <w:proofErr w:type="spellStart"/>
      <w:r>
        <w:rPr>
          <w:rFonts w:ascii="Times New Roman" w:eastAsia="Times New Roman" w:hAnsi="Times New Roman" w:cs="Times New Roman"/>
          <w:sz w:val="24"/>
          <w:szCs w:val="24"/>
        </w:rPr>
        <w:t>barostat</w:t>
      </w:r>
      <w:proofErr w:type="spellEnd"/>
      <w:r>
        <w:rPr>
          <w:rFonts w:ascii="Times New Roman" w:eastAsia="Times New Roman" w:hAnsi="Times New Roman" w:cs="Times New Roman"/>
          <w:sz w:val="24"/>
          <w:szCs w:val="24"/>
        </w:rPr>
        <w:t xml:space="preserve">. The production simulations were run with constant temperature (310.15 K) and pressure (1 bar) using a V-rescale thermostat and a Parrinello-Rahman semi-isotropic </w:t>
      </w:r>
      <w:proofErr w:type="spellStart"/>
      <w:r>
        <w:rPr>
          <w:rFonts w:ascii="Times New Roman" w:eastAsia="Times New Roman" w:hAnsi="Times New Roman" w:cs="Times New Roman"/>
          <w:sz w:val="24"/>
          <w:szCs w:val="24"/>
        </w:rPr>
        <w:t>barostat</w:t>
      </w:r>
      <w:proofErr w:type="spellEnd"/>
      <w:r>
        <w:rPr>
          <w:rFonts w:ascii="Times New Roman" w:eastAsia="Times New Roman" w:hAnsi="Times New Roman" w:cs="Times New Roman"/>
          <w:sz w:val="24"/>
          <w:szCs w:val="24"/>
        </w:rPr>
        <w:t>.</w:t>
      </w:r>
    </w:p>
    <w:p w14:paraId="7FC6F1BA"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Gene burden analysis</w:t>
      </w:r>
    </w:p>
    <w:p w14:paraId="7FC6F1BB" w14:textId="77777777" w:rsidR="003238AA" w:rsidRDefault="009F264E">
      <w:pPr>
        <w:spacing w:after="200" w:line="360" w:lineRule="auto"/>
        <w:ind w:left="-540"/>
        <w:jc w:val="both"/>
      </w:pPr>
      <w:r>
        <w:rPr>
          <w:rFonts w:ascii="Times New Roman" w:eastAsia="Times New Roman" w:hAnsi="Times New Roman" w:cs="Times New Roman"/>
          <w:sz w:val="24"/>
          <w:szCs w:val="24"/>
        </w:rPr>
        <w:t>To examine the involvement of other genes in the WD, we used the burden testing approach with slight modification</w:t>
      </w:r>
      <w:hyperlink r:id="rId15">
        <w:r>
          <w:rPr>
            <w:rFonts w:ascii="Times New Roman" w:eastAsia="Times New Roman" w:hAnsi="Times New Roman" w:cs="Times New Roman"/>
            <w:sz w:val="24"/>
            <w:szCs w:val="24"/>
            <w:vertAlign w:val="superscript"/>
          </w:rPr>
          <w:t>24</w:t>
        </w:r>
      </w:hyperlink>
      <w:r>
        <w:rPr>
          <w:rFonts w:ascii="Times New Roman" w:eastAsia="Times New Roman" w:hAnsi="Times New Roman" w:cs="Times New Roman"/>
          <w:sz w:val="24"/>
          <w:szCs w:val="24"/>
        </w:rPr>
        <w:t xml:space="preserve"> to identify the aggregate burden of rare protein-altering variants in each gene tested against the </w:t>
      </w:r>
      <w:proofErr w:type="spellStart"/>
      <w:r>
        <w:rPr>
          <w:rFonts w:ascii="Times New Roman" w:eastAsia="Times New Roman" w:hAnsi="Times New Roman" w:cs="Times New Roman"/>
          <w:sz w:val="24"/>
          <w:szCs w:val="24"/>
        </w:rPr>
        <w:t>IndiGenomes</w:t>
      </w:r>
      <w:proofErr w:type="spellEnd"/>
      <w:r>
        <w:rPr>
          <w:rFonts w:ascii="Times New Roman" w:eastAsia="Times New Roman" w:hAnsi="Times New Roman" w:cs="Times New Roman"/>
          <w:sz w:val="24"/>
          <w:szCs w:val="24"/>
        </w:rPr>
        <w:t xml:space="preserve"> data as a control using TRAPD (Testing Rare </w:t>
      </w:r>
      <w:proofErr w:type="spellStart"/>
      <w:r>
        <w:rPr>
          <w:rFonts w:ascii="Times New Roman" w:eastAsia="Times New Roman" w:hAnsi="Times New Roman" w:cs="Times New Roman"/>
          <w:sz w:val="24"/>
          <w:szCs w:val="24"/>
        </w:rPr>
        <w:t>vAriants</w:t>
      </w:r>
      <w:proofErr w:type="spellEnd"/>
      <w:r>
        <w:rPr>
          <w:rFonts w:ascii="Times New Roman" w:eastAsia="Times New Roman" w:hAnsi="Times New Roman" w:cs="Times New Roman"/>
          <w:sz w:val="24"/>
          <w:szCs w:val="24"/>
        </w:rPr>
        <w:t xml:space="preserve"> using Public Data) written in Python and R. We calculated the coverage for all the nucleotide base sites in WD cohort and </w:t>
      </w:r>
      <w:proofErr w:type="spellStart"/>
      <w:r>
        <w:rPr>
          <w:rFonts w:ascii="Times New Roman" w:eastAsia="Times New Roman" w:hAnsi="Times New Roman" w:cs="Times New Roman"/>
          <w:sz w:val="24"/>
          <w:szCs w:val="24"/>
        </w:rPr>
        <w:t>IndiGenomes</w:t>
      </w:r>
      <w:proofErr w:type="spellEnd"/>
      <w:r>
        <w:rPr>
          <w:rFonts w:ascii="Times New Roman" w:eastAsia="Times New Roman" w:hAnsi="Times New Roman" w:cs="Times New Roman"/>
          <w:sz w:val="24"/>
          <w:szCs w:val="24"/>
        </w:rPr>
        <w:t xml:space="preserve"> bam files using </w:t>
      </w:r>
      <w:proofErr w:type="spellStart"/>
      <w:r>
        <w:rPr>
          <w:rFonts w:ascii="Times New Roman" w:eastAsia="Times New Roman" w:hAnsi="Times New Roman" w:cs="Times New Roman"/>
          <w:sz w:val="24"/>
          <w:szCs w:val="24"/>
        </w:rPr>
        <w:t>samtools</w:t>
      </w:r>
      <w:proofErr w:type="spellEnd"/>
      <w:r>
        <w:rPr>
          <w:rFonts w:ascii="Times New Roman" w:eastAsia="Times New Roman" w:hAnsi="Times New Roman" w:cs="Times New Roman"/>
          <w:sz w:val="24"/>
          <w:szCs w:val="24"/>
        </w:rPr>
        <w:t xml:space="preserve">, subsequently generated bed file for the respective group wherein greater than 90% of samples with DP&gt;10 (depth) by employing the </w:t>
      </w:r>
      <w:proofErr w:type="spellStart"/>
      <w:r>
        <w:rPr>
          <w:rFonts w:ascii="Times New Roman" w:eastAsia="Times New Roman" w:hAnsi="Times New Roman" w:cs="Times New Roman"/>
          <w:sz w:val="24"/>
          <w:szCs w:val="24"/>
        </w:rPr>
        <w:t>bedtools</w:t>
      </w:r>
      <w:proofErr w:type="spellEnd"/>
      <w:r>
        <w:rPr>
          <w:rFonts w:ascii="Times New Roman" w:eastAsia="Times New Roman" w:hAnsi="Times New Roman" w:cs="Times New Roman"/>
          <w:sz w:val="24"/>
          <w:szCs w:val="24"/>
        </w:rPr>
        <w:t xml:space="preserve">. To ensure the best comparison between case and control data, a common standard bed file was prepared for the intersected sites from the control and diseased groups. All the filters were followed for both case and control data using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The variants were annotated with ANNOVAR using the hg38 genome assembly. Next, we kept variants with a minor allele frequency (MAF) below 0.1% according to the 1000 Genomes Project, ESP6500 and ExAC, while excluding synonymous and unknown variants. We included variants predicted to be deleterious by at least two out of three tools (</w:t>
      </w:r>
      <w:proofErr w:type="spellStart"/>
      <w:r>
        <w:rPr>
          <w:rFonts w:ascii="Times New Roman" w:eastAsia="Times New Roman" w:hAnsi="Times New Roman" w:cs="Times New Roman"/>
          <w:sz w:val="24"/>
          <w:szCs w:val="24"/>
        </w:rPr>
        <w:t>SFIT_pred</w:t>
      </w:r>
      <w:proofErr w:type="spellEnd"/>
      <w:r>
        <w:rPr>
          <w:rFonts w:ascii="Times New Roman" w:eastAsia="Times New Roman" w:hAnsi="Times New Roman" w:cs="Times New Roman"/>
          <w:sz w:val="24"/>
          <w:szCs w:val="24"/>
        </w:rPr>
        <w:t xml:space="preserve">, PolyPhen2_HVAR_pred and </w:t>
      </w:r>
      <w:proofErr w:type="spellStart"/>
      <w:r>
        <w:rPr>
          <w:rFonts w:ascii="Times New Roman" w:eastAsia="Times New Roman" w:hAnsi="Times New Roman" w:cs="Times New Roman"/>
          <w:sz w:val="24"/>
          <w:szCs w:val="24"/>
        </w:rPr>
        <w:t>CADD_Phred</w:t>
      </w:r>
      <w:proofErr w:type="spellEnd"/>
      <w:r>
        <w:rPr>
          <w:rFonts w:ascii="Times New Roman" w:eastAsia="Times New Roman" w:hAnsi="Times New Roman" w:cs="Times New Roman"/>
          <w:sz w:val="24"/>
          <w:szCs w:val="24"/>
        </w:rPr>
        <w:t xml:space="preserve">), those classified as likely pathogenic or pathogenic in the </w:t>
      </w:r>
      <w:proofErr w:type="spellStart"/>
      <w:r>
        <w:rPr>
          <w:rFonts w:ascii="Times New Roman" w:eastAsia="Times New Roman" w:hAnsi="Times New Roman" w:cs="Times New Roman"/>
          <w:sz w:val="24"/>
          <w:szCs w:val="24"/>
        </w:rPr>
        <w:t>ClinVar</w:t>
      </w:r>
      <w:proofErr w:type="spellEnd"/>
      <w:r>
        <w:rPr>
          <w:rFonts w:ascii="Times New Roman" w:eastAsia="Times New Roman" w:hAnsi="Times New Roman" w:cs="Times New Roman"/>
          <w:sz w:val="24"/>
          <w:szCs w:val="24"/>
        </w:rPr>
        <w:t xml:space="preserve"> database and loss-of-function (</w:t>
      </w:r>
      <w:proofErr w:type="spellStart"/>
      <w:r>
        <w:rPr>
          <w:rFonts w:ascii="Times New Roman" w:eastAsia="Times New Roman" w:hAnsi="Times New Roman" w:cs="Times New Roman"/>
          <w:sz w:val="24"/>
          <w:szCs w:val="24"/>
        </w:rPr>
        <w:t>LoF</w:t>
      </w:r>
      <w:proofErr w:type="spellEnd"/>
      <w:r>
        <w:rPr>
          <w:rFonts w:ascii="Times New Roman" w:eastAsia="Times New Roman" w:hAnsi="Times New Roman" w:cs="Times New Roman"/>
          <w:sz w:val="24"/>
          <w:szCs w:val="24"/>
        </w:rPr>
        <w:t>) variants, which encompass frameshift deletions, frameshift insertions, stop-gain mutations, start-loss mutations, and splicing sites.</w:t>
      </w:r>
    </w:p>
    <w:p w14:paraId="7FC6F1BC"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WD samples were </w:t>
      </w:r>
      <w:proofErr w:type="spellStart"/>
      <w:r>
        <w:rPr>
          <w:rFonts w:ascii="Times New Roman" w:eastAsia="Times New Roman" w:hAnsi="Times New Roman" w:cs="Times New Roman"/>
          <w:sz w:val="24"/>
          <w:szCs w:val="24"/>
        </w:rPr>
        <w:t>subsetted</w:t>
      </w:r>
      <w:proofErr w:type="spellEnd"/>
      <w:r>
        <w:rPr>
          <w:rFonts w:ascii="Times New Roman" w:eastAsia="Times New Roman" w:hAnsi="Times New Roman" w:cs="Times New Roman"/>
          <w:sz w:val="24"/>
          <w:szCs w:val="24"/>
        </w:rPr>
        <w:t xml:space="preserve"> in 71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positives and 41 negatives.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negatives, positives and </w:t>
      </w:r>
      <w:proofErr w:type="spellStart"/>
      <w:r>
        <w:rPr>
          <w:rFonts w:ascii="Times New Roman" w:eastAsia="Times New Roman" w:hAnsi="Times New Roman" w:cs="Times New Roman"/>
          <w:sz w:val="24"/>
          <w:szCs w:val="24"/>
        </w:rPr>
        <w:t>IndiGenomes</w:t>
      </w:r>
      <w:proofErr w:type="spellEnd"/>
      <w:r>
        <w:rPr>
          <w:rFonts w:ascii="Times New Roman" w:eastAsia="Times New Roman" w:hAnsi="Times New Roman" w:cs="Times New Roman"/>
          <w:sz w:val="24"/>
          <w:szCs w:val="24"/>
        </w:rPr>
        <w:t xml:space="preserve"> 1029 samples were used to generate an SNP file separately. SNP files containing the qualifying variants were used to calculate carriers in each group and burden analysis was performed. The Fisher exact test assessed the genetic burden of variants within specific genes, focusing on a set of genes with a p-value less than 2.5×10</w:t>
      </w:r>
      <w:r>
        <w:rPr>
          <w:rFonts w:ascii="Gungsuh" w:eastAsia="Gungsuh" w:hAnsi="Gungsuh" w:cs="Gungsuh"/>
          <w:sz w:val="24"/>
          <w:szCs w:val="24"/>
          <w:vertAlign w:val="superscript"/>
        </w:rPr>
        <w:t>−6</w:t>
      </w:r>
      <w:r>
        <w:rPr>
          <w:rFonts w:ascii="Times New Roman" w:eastAsia="Times New Roman" w:hAnsi="Times New Roman" w:cs="Times New Roman"/>
          <w:sz w:val="24"/>
          <w:szCs w:val="24"/>
        </w:rPr>
        <w:t>.</w:t>
      </w:r>
    </w:p>
    <w:p w14:paraId="7FC6F1BD"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6:</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Hotspot exome amplicon panel for Sanger sequencing </w:t>
      </w:r>
    </w:p>
    <w:p w14:paraId="7FC6F1BE" w14:textId="77777777" w:rsidR="003238AA" w:rsidRDefault="009F264E">
      <w:pPr>
        <w:spacing w:after="200" w:line="36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primers for the hotspot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exons 2 (E2_1, E2_2 and E2_3), 5 (E5_1), 8 (E8_1), 13 (E13_1), 14 (E14_1), 15 (E15_1), 18 (E18_1) and 19 (E18_2) were designed and provided in Supplementary Table 1. PCR was carried out using 2X GoTaq </w:t>
      </w:r>
      <w:proofErr w:type="spellStart"/>
      <w:r>
        <w:rPr>
          <w:rFonts w:ascii="Times New Roman" w:eastAsia="Times New Roman" w:hAnsi="Times New Roman" w:cs="Times New Roman"/>
          <w:sz w:val="24"/>
          <w:szCs w:val="24"/>
        </w:rPr>
        <w:t>MasterMix</w:t>
      </w:r>
      <w:proofErr w:type="spellEnd"/>
      <w:r>
        <w:rPr>
          <w:rFonts w:ascii="Times New Roman" w:eastAsia="Times New Roman" w:hAnsi="Times New Roman" w:cs="Times New Roman"/>
          <w:sz w:val="24"/>
          <w:szCs w:val="24"/>
        </w:rPr>
        <w:t xml:space="preserve"> (Cat. No. M7122, Promega). Initial </w:t>
      </w:r>
      <w:r>
        <w:rPr>
          <w:rFonts w:ascii="Times New Roman" w:eastAsia="Times New Roman" w:hAnsi="Times New Roman" w:cs="Times New Roman"/>
          <w:sz w:val="24"/>
          <w:szCs w:val="24"/>
        </w:rPr>
        <w:lastRenderedPageBreak/>
        <w:t xml:space="preserve">denaturation at 95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5 minutes, denaturation at 95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30 seconds, annealing at 60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30 seconds, extension at 72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30 seconds, and the final extension step at 72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7 minutes were the PCR conditions that were followed.</w:t>
      </w:r>
    </w:p>
    <w:p w14:paraId="7FC6F1BF" w14:textId="77777777" w:rsidR="003238AA" w:rsidRDefault="009F264E">
      <w:pPr>
        <w:spacing w:after="200" w:line="360" w:lineRule="auto"/>
        <w:ind w:left="-540"/>
        <w:jc w:val="both"/>
        <w:rPr>
          <w:rFonts w:ascii="Times New Roman" w:eastAsia="Times New Roman" w:hAnsi="Times New Roman" w:cs="Times New Roman"/>
          <w:b/>
          <w:sz w:val="24"/>
          <w:szCs w:val="24"/>
        </w:rPr>
      </w:pPr>
      <w:r w:rsidRPr="00130C68">
        <w:rPr>
          <w:rFonts w:ascii="Times New Roman" w:eastAsia="Times New Roman" w:hAnsi="Times New Roman" w:cs="Times New Roman"/>
          <w:b/>
          <w:bCs/>
          <w:sz w:val="24"/>
          <w:szCs w:val="24"/>
        </w:rPr>
        <w:t>Supplementary Method 7:</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High throughput, targeted and cost-effective gene screening panel for WD gene  </w:t>
      </w:r>
    </w:p>
    <w:p w14:paraId="7FC6F1C0" w14:textId="77777777" w:rsidR="003238AA" w:rsidRDefault="009F264E">
      <w:pPr>
        <w:spacing w:after="200" w:line="360" w:lineRule="auto"/>
        <w:ind w:left="-540"/>
        <w:jc w:val="both"/>
      </w:pPr>
      <w:r>
        <w:rPr>
          <w:rFonts w:ascii="Times New Roman" w:eastAsia="Times New Roman" w:hAnsi="Times New Roman" w:cs="Times New Roman"/>
          <w:sz w:val="24"/>
          <w:szCs w:val="24"/>
        </w:rPr>
        <w:t xml:space="preserve">We developed a method for optimizing targeted sequencing of the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exons using PCR amplification and library preparation for sequencing on the </w:t>
      </w:r>
      <w:proofErr w:type="spellStart"/>
      <w:r>
        <w:rPr>
          <w:rFonts w:ascii="Times New Roman" w:eastAsia="Times New Roman" w:hAnsi="Times New Roman" w:cs="Times New Roman"/>
          <w:sz w:val="24"/>
          <w:szCs w:val="24"/>
        </w:rPr>
        <w:t>NovaSeq</w:t>
      </w:r>
      <w:proofErr w:type="spellEnd"/>
      <w:r>
        <w:rPr>
          <w:rFonts w:ascii="Times New Roman" w:eastAsia="Times New Roman" w:hAnsi="Times New Roman" w:cs="Times New Roman"/>
          <w:sz w:val="24"/>
          <w:szCs w:val="24"/>
        </w:rPr>
        <w:t xml:space="preserve"> 6000 platform. To target the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exons, we designed 29 primer pairs that flank all the exons listed in Supplementary Table 1. These primers were pooled into two separate pools (pool 1 and pool 2) for multiplex PCR amplification. Pool 1 contained primers for exons 3, 6, 8, and 20, while pool 2 contained the remaining 25 sets of primers. Multiplex PCR was performed using 2X GoTaq </w:t>
      </w:r>
      <w:proofErr w:type="spellStart"/>
      <w:r>
        <w:rPr>
          <w:rFonts w:ascii="Times New Roman" w:eastAsia="Times New Roman" w:hAnsi="Times New Roman" w:cs="Times New Roman"/>
          <w:sz w:val="24"/>
          <w:szCs w:val="24"/>
        </w:rPr>
        <w:t>MasterMix</w:t>
      </w:r>
      <w:proofErr w:type="spellEnd"/>
      <w:r>
        <w:rPr>
          <w:rFonts w:ascii="Times New Roman" w:eastAsia="Times New Roman" w:hAnsi="Times New Roman" w:cs="Times New Roman"/>
          <w:sz w:val="24"/>
          <w:szCs w:val="24"/>
        </w:rPr>
        <w:t xml:space="preserve"> (Cat. No. M7122, Promega). The PCR conditions included an initial denaturation step at 95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5 minutes, followed by denaturation at 95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45 seconds, annealing at 60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45 seconds, extension at 72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45 seconds, and a final extension step at 72 </w:t>
      </w:r>
      <w:proofErr w:type="spellStart"/>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w:t>
      </w:r>
      <w:proofErr w:type="spellEnd"/>
      <w:r>
        <w:rPr>
          <w:rFonts w:ascii="Times New Roman" w:eastAsia="Times New Roman" w:hAnsi="Times New Roman" w:cs="Times New Roman"/>
          <w:sz w:val="24"/>
          <w:szCs w:val="24"/>
        </w:rPr>
        <w:t xml:space="preserve"> for 10 minutes. The PCR products were then purified and pooled together for library preparation wherein the </w:t>
      </w:r>
      <w:proofErr w:type="spellStart"/>
      <w:r>
        <w:rPr>
          <w:rFonts w:ascii="Times New Roman" w:eastAsia="Times New Roman" w:hAnsi="Times New Roman" w:cs="Times New Roman"/>
          <w:sz w:val="24"/>
          <w:szCs w:val="24"/>
        </w:rPr>
        <w:t>tagmentation</w:t>
      </w:r>
      <w:proofErr w:type="spellEnd"/>
      <w:r>
        <w:rPr>
          <w:rFonts w:ascii="Times New Roman" w:eastAsia="Times New Roman" w:hAnsi="Times New Roman" w:cs="Times New Roman"/>
          <w:sz w:val="24"/>
          <w:szCs w:val="24"/>
        </w:rPr>
        <w:t xml:space="preserve"> beads and the UD indexes of </w:t>
      </w:r>
      <w:proofErr w:type="spellStart"/>
      <w:r>
        <w:rPr>
          <w:rFonts w:ascii="Times New Roman" w:eastAsia="Times New Roman" w:hAnsi="Times New Roman" w:cs="Times New Roman"/>
          <w:sz w:val="24"/>
          <w:szCs w:val="24"/>
        </w:rPr>
        <w:t>COVIDSeq</w:t>
      </w:r>
      <w:proofErr w:type="spellEnd"/>
      <w:r>
        <w:rPr>
          <w:rFonts w:ascii="Times New Roman" w:eastAsia="Times New Roman" w:hAnsi="Times New Roman" w:cs="Times New Roman"/>
          <w:sz w:val="24"/>
          <w:szCs w:val="24"/>
        </w:rPr>
        <w:t xml:space="preserve"> (Illumina) were used (25). This kit includes a series of enzymatic steps to fragment and tag the DNA fragments, followed by PCR amplification to add index sequences for multiplex sequencing. The resulting libraries were then sequenced on the </w:t>
      </w:r>
      <w:proofErr w:type="spellStart"/>
      <w:r>
        <w:rPr>
          <w:rFonts w:ascii="Times New Roman" w:eastAsia="Times New Roman" w:hAnsi="Times New Roman" w:cs="Times New Roman"/>
          <w:sz w:val="24"/>
          <w:szCs w:val="24"/>
        </w:rPr>
        <w:t>NovaSeq</w:t>
      </w:r>
      <w:proofErr w:type="spellEnd"/>
      <w:r>
        <w:rPr>
          <w:rFonts w:ascii="Times New Roman" w:eastAsia="Times New Roman" w:hAnsi="Times New Roman" w:cs="Times New Roman"/>
          <w:sz w:val="24"/>
          <w:szCs w:val="24"/>
        </w:rPr>
        <w:t xml:space="preserve"> 6000 platform. By targeting the </w:t>
      </w:r>
      <w:r>
        <w:rPr>
          <w:rFonts w:ascii="Times New Roman" w:eastAsia="Times New Roman" w:hAnsi="Times New Roman" w:cs="Times New Roman"/>
          <w:i/>
          <w:sz w:val="24"/>
          <w:szCs w:val="24"/>
        </w:rPr>
        <w:t>ATP7B</w:t>
      </w:r>
      <w:r>
        <w:rPr>
          <w:rFonts w:ascii="Times New Roman" w:eastAsia="Times New Roman" w:hAnsi="Times New Roman" w:cs="Times New Roman"/>
          <w:sz w:val="24"/>
          <w:szCs w:val="24"/>
        </w:rPr>
        <w:t xml:space="preserve"> exons using PCR amplification and library preparation, we were able to sequence the relevant genomic regions with high coverage and accuracy, allowing for the detection of genetic variants associated with WD. This approach can help to improve the diagnosis and management of patients with this genetic disorder.</w:t>
      </w:r>
    </w:p>
    <w:sectPr w:rsidR="003238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zNDcxMDU1MbO0MDBV0lEKTi0uzszPAykwrgUAUesBmSwAAAA="/>
  </w:docVars>
  <w:rsids>
    <w:rsidRoot w:val="003238AA"/>
    <w:rsid w:val="00130C68"/>
    <w:rsid w:val="003238AA"/>
    <w:rsid w:val="004E6C30"/>
    <w:rsid w:val="006D3417"/>
    <w:rsid w:val="009F264E"/>
    <w:rsid w:val="00A36E17"/>
    <w:rsid w:val="00C30E5B"/>
    <w:rsid w:val="00F16626"/>
    <w:rsid w:val="00F21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F1AC"/>
  <w15:docId w15:val="{BB2649AB-D63E-4FD6-A02D-AFECD0E2D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paperpile.com/c/xP65js/0COK+xwrT" TargetMode="External"/><Relationship Id="rId13" Type="http://schemas.openxmlformats.org/officeDocument/2006/relationships/hyperlink" Target="https://paperpile.com/c/xP65js/cemV" TargetMode="External"/><Relationship Id="rId3" Type="http://schemas.openxmlformats.org/officeDocument/2006/relationships/webSettings" Target="webSettings.xml"/><Relationship Id="rId7" Type="http://schemas.openxmlformats.org/officeDocument/2006/relationships/hyperlink" Target="https://paperpile.com/c/xP65js/0COK" TargetMode="External"/><Relationship Id="rId12" Type="http://schemas.openxmlformats.org/officeDocument/2006/relationships/hyperlink" Target="https://paperpile.com/c/xP65js/ctm3"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paperpile.com/c/xP65js/Cx9j+QkY4" TargetMode="External"/><Relationship Id="rId11" Type="http://schemas.openxmlformats.org/officeDocument/2006/relationships/hyperlink" Target="https://paperpile.com/c/xP65js/iLUq" TargetMode="External"/><Relationship Id="rId5" Type="http://schemas.openxmlformats.org/officeDocument/2006/relationships/hyperlink" Target="https://paperpile.com/c/xP65js/hqjN" TargetMode="External"/><Relationship Id="rId15" Type="http://schemas.openxmlformats.org/officeDocument/2006/relationships/hyperlink" Target="https://paperpile.com/c/xP65js/EPF1" TargetMode="External"/><Relationship Id="rId10" Type="http://schemas.openxmlformats.org/officeDocument/2006/relationships/hyperlink" Target="https://paperpile.com/c/xP65js/eulD" TargetMode="External"/><Relationship Id="rId4" Type="http://schemas.openxmlformats.org/officeDocument/2006/relationships/hyperlink" Target="https://paperpile.com/c/xP65js/k78X" TargetMode="External"/><Relationship Id="rId9" Type="http://schemas.openxmlformats.org/officeDocument/2006/relationships/hyperlink" Target="https://paperpile.com/c/xP65js/qtSm+eeG5" TargetMode="External"/><Relationship Id="rId14" Type="http://schemas.openxmlformats.org/officeDocument/2006/relationships/hyperlink" Target="https://paperpile.com/c/xP65js/oWf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1552</Words>
  <Characters>8851</Characters>
  <Application>Microsoft Office Word</Application>
  <DocSecurity>0</DocSecurity>
  <Lines>73</Lines>
  <Paragraphs>20</Paragraphs>
  <ScaleCrop>false</ScaleCrop>
  <Company/>
  <LinksUpToDate>false</LinksUpToDate>
  <CharactersWithSpaces>10383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Mukesh Saini</cp:lastModifiedBy>
  <cp:revision>5</cp:revision>
  <dcterms:created xsi:type="dcterms:W3CDTF">2024-09-13T10:36:00Z</dcterms:created>
  <dcterms:modified xsi:type="dcterms:W3CDTF">2024-09-14T10:10:00Z</dcterms:modified>
</cp:coreProperties>
</file>