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${</w:t>
      </w:r>
      <w:proofErr w:type="spellStart"/>
      <w:r w:rsidR="0066223F">
        <w:rPr>
          <w:rFonts w:asciiTheme="minorHAnsi" w:hAnsiTheme="minorHAnsi"/>
          <w:b/>
          <w:bCs/>
          <w:sz w:val="22"/>
          <w:szCs w:val="22"/>
        </w:rPr>
        <w:t>jenisPelanggan</w:t>
      </w:r>
      <w:proofErr w:type="spellEnd"/>
      <w:r w:rsidR="0066223F">
        <w:rPr>
          <w:rFonts w:asciiTheme="minorHAnsi" w:hAnsiTheme="minorHAnsi"/>
          <w:b/>
          <w:bCs/>
          <w:sz w:val="22"/>
          <w:szCs w:val="22"/>
        </w:rPr>
        <w:t>}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${tahun}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${unitKerja}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${pelanggan}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${saatPenggunaan}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${lb1}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${lb2}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${pelanggan}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${</w:t>
      </w:r>
      <w:proofErr w:type="spellStart"/>
      <w:r w:rsidR="00EE597E">
        <w:rPr>
          <w:rFonts w:asciiTheme="minorHAnsi" w:hAnsiTheme="minorHAnsi"/>
          <w:sz w:val="22"/>
          <w:szCs w:val="22"/>
        </w:rPr>
        <w:t>revenueConnectivity</w:t>
      </w:r>
      <w:proofErr w:type="spellEnd"/>
      <w:proofErr w:type="gramStart"/>
      <w:r w:rsidR="00EE597E">
        <w:rPr>
          <w:rFonts w:asciiTheme="minorHAnsi" w:hAnsiTheme="minorHAnsi"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${revenueC</w:t>
      </w:r>
      <w:r w:rsidR="00F83CA0">
        <w:rPr>
          <w:rFonts w:asciiTheme="minorHAnsi" w:hAnsiTheme="minorHAnsi"/>
          <w:noProof/>
          <w:sz w:val="22"/>
          <w:szCs w:val="22"/>
        </w:rPr>
        <w:t>PEProyek</w:t>
      </w:r>
      <w:proofErr w:type="gramStart"/>
      <w:r w:rsidR="00EE597E">
        <w:rPr>
          <w:rFonts w:asciiTheme="minorHAnsi" w:hAnsiTheme="minorHAnsi"/>
          <w:noProof/>
          <w:sz w:val="22"/>
          <w:szCs w:val="22"/>
        </w:rPr>
        <w:t>}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5ACAF2F0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 xml:space="preserve">%,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${margin</w:t>
      </w:r>
      <w:r w:rsidR="00455787">
        <w:rPr>
          <w:rFonts w:asciiTheme="minorHAnsi" w:hAnsiTheme="minorHAnsi"/>
          <w:noProof/>
          <w:sz w:val="22"/>
          <w:szCs w:val="22"/>
        </w:rPr>
        <w:t>T</w:t>
      </w:r>
      <w:r w:rsidR="00EE597E">
        <w:rPr>
          <w:rFonts w:asciiTheme="minorHAnsi" w:hAnsiTheme="minorHAnsi"/>
          <w:noProof/>
          <w:sz w:val="22"/>
          <w:szCs w:val="22"/>
        </w:rPr>
        <w:t>g}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$</w:t>
      </w:r>
      <w:proofErr w:type="gramEnd"/>
      <w:r w:rsidR="00EE597E">
        <w:rPr>
          <w:rFonts w:asciiTheme="minorHAnsi" w:hAnsiTheme="minorHAnsi"/>
          <w:noProof/>
          <w:sz w:val="22"/>
          <w:szCs w:val="22"/>
        </w:rPr>
        <w:t>{rpMargin}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${nilaiKontrak</w:t>
      </w:r>
      <w:proofErr w:type="gramStart"/>
      <w:r w:rsidR="00EE597E">
        <w:rPr>
          <w:rFonts w:asciiTheme="minorHAnsi" w:hAnsiTheme="minorHAns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${bebanMitra</w:t>
      </w:r>
      <w:proofErr w:type="gramStart"/>
      <w:r w:rsidR="00EE597E">
        <w:rPr>
          <w:rFonts w:asciiTheme="minorHAnsi" w:hAnsiTheme="minorHAnsi" w:cs="Calibri"/>
          <w:b w:val="0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${rpMargin</w:t>
      </w:r>
      <w:proofErr w:type="gramStart"/>
      <w:r w:rsidR="00EE597E">
        <w:rPr>
          <w:rFonts w:asciiTheme="minorHAnsi" w:hAnsiTheme="minorHAnsi" w:cs="Calibri"/>
          <w:noProof/>
          <w:sz w:val="22"/>
          <w:szCs w:val="22"/>
        </w:rPr>
        <w:t>}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revenueConnectivity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  <w:tc>
          <w:tcPr>
            <w:tcW w:w="2127" w:type="dxa"/>
            <w:vAlign w:val="center"/>
          </w:tcPr>
          <w:p w14:paraId="295ED609" w14:textId="213C2CF8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bookmarkStart w:id="0" w:name="_GoBack"/>
            <w:bookmarkEnd w:id="0"/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${nilaiKontrak}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${bebanMitra}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${rpMargin}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${marginTg}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${judul}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4AFC8FA2">
            <wp:extent cx="4702810" cy="2220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${namaMitra}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${jabatanApproval}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${am}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${nikAm}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${jabatanAm}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${se}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${nikSe}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${jabatanSe}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${bidding}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${nikBidding}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${manager}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${nikManager}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${deputy}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${nikDeputy}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</w:t>
            </w:r>
            <w:r w:rsidR="00BE4FD4"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jabatanDeputy}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${gm}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${nikGm}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${jabatanGm}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${approval}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${nikApproval}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${jabatanApproval}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399F" w14:textId="77777777" w:rsidR="00CF65D1" w:rsidRDefault="00CF65D1">
      <w:r>
        <w:separator/>
      </w:r>
    </w:p>
  </w:endnote>
  <w:endnote w:type="continuationSeparator" w:id="0">
    <w:p w14:paraId="0C5BED84" w14:textId="77777777" w:rsidR="00CF65D1" w:rsidRDefault="00CF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3E35" w14:textId="77777777" w:rsidR="00CF65D1" w:rsidRDefault="00CF65D1">
      <w:r>
        <w:separator/>
      </w:r>
    </w:p>
  </w:footnote>
  <w:footnote w:type="continuationSeparator" w:id="0">
    <w:p w14:paraId="26F5BD87" w14:textId="77777777" w:rsidR="00CF65D1" w:rsidRDefault="00CF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37BA-EFB6-4D14-9A29-BF2F673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11</cp:revision>
  <cp:lastPrinted>2018-07-11T06:41:00Z</cp:lastPrinted>
  <dcterms:created xsi:type="dcterms:W3CDTF">2018-07-11T06:42:00Z</dcterms:created>
  <dcterms:modified xsi:type="dcterms:W3CDTF">2018-08-09T08:54:00Z</dcterms:modified>
</cp:coreProperties>
</file>