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0" w:firstLine="0"/>
        <w:rPr>
          <w:b w:val="1"/>
          <w:color w:val="000000"/>
          <w:sz w:val="26"/>
          <w:szCs w:val="26"/>
          <w:u w:val="single"/>
        </w:rPr>
      </w:pPr>
      <w:bookmarkStart w:colFirst="0" w:colLast="0" w:name="_b2mcuiwabu6"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3"/>
        <w:keepNext w:val="0"/>
        <w:keepLines w:val="0"/>
        <w:numPr>
          <w:ilvl w:val="0"/>
          <w:numId w:val="1"/>
        </w:numPr>
        <w:spacing w:before="280" w:lineRule="auto"/>
        <w:ind w:left="720" w:hanging="360"/>
        <w:rPr>
          <w:b w:val="1"/>
          <w:color w:val="000000"/>
          <w:sz w:val="26"/>
          <w:szCs w:val="26"/>
        </w:rPr>
      </w:pPr>
      <w:bookmarkStart w:colFirst="0" w:colLast="0" w:name="_8ahvf283v0m4" w:id="1"/>
      <w:bookmarkEnd w:id="1"/>
      <w:r w:rsidDel="00000000" w:rsidR="00000000" w:rsidRPr="00000000">
        <w:rPr>
          <w:b w:val="1"/>
          <w:color w:val="000000"/>
          <w:sz w:val="26"/>
          <w:szCs w:val="26"/>
          <w:u w:val="single"/>
          <w:rtl w:val="0"/>
        </w:rPr>
        <w:t xml:space="preserve">Insight Summary:-</w:t>
      </w:r>
    </w:p>
    <w:p w:rsidR="00000000" w:rsidDel="00000000" w:rsidP="00000000" w:rsidRDefault="00000000" w:rsidRPr="00000000" w14:paraId="00000003">
      <w:pPr>
        <w:pStyle w:val="Heading4"/>
        <w:keepNext w:val="0"/>
        <w:keepLines w:val="0"/>
        <w:spacing w:after="40" w:before="240" w:lineRule="auto"/>
        <w:ind w:left="0" w:firstLine="0"/>
        <w:rPr>
          <w:b w:val="1"/>
          <w:color w:val="000000"/>
          <w:sz w:val="22"/>
          <w:szCs w:val="22"/>
        </w:rPr>
      </w:pPr>
      <w:bookmarkStart w:colFirst="0" w:colLast="0" w:name="_hwuqf4sqt896" w:id="2"/>
      <w:bookmarkEnd w:id="2"/>
      <w:r w:rsidDel="00000000" w:rsidR="00000000" w:rsidRPr="00000000">
        <w:rPr>
          <w:b w:val="1"/>
          <w:color w:val="000000"/>
          <w:sz w:val="22"/>
          <w:szCs w:val="22"/>
          <w:rtl w:val="0"/>
        </w:rPr>
        <w:t xml:space="preserve">Dataset Overview</w:t>
      </w:r>
    </w:p>
    <w:p w:rsidR="00000000" w:rsidDel="00000000" w:rsidP="00000000" w:rsidRDefault="00000000" w:rsidRPr="00000000" w14:paraId="00000004">
      <w:pPr>
        <w:numPr>
          <w:ilvl w:val="0"/>
          <w:numId w:val="1"/>
        </w:numPr>
        <w:spacing w:after="240" w:before="240" w:lineRule="auto"/>
        <w:ind w:left="720" w:hanging="360"/>
        <w:rPr>
          <w:u w:val="none"/>
        </w:rPr>
      </w:pPr>
      <w:r w:rsidDel="00000000" w:rsidR="00000000" w:rsidRPr="00000000">
        <w:rPr>
          <w:rtl w:val="0"/>
        </w:rPr>
        <w:t xml:space="preserve">The dataset contains information on insurance-related financial transactions. It is designed to provide insights into the frequency and volume of these transactions, categorised by type and time period. The primary purpose of the dataset is to analyse trends in insurance payments, helping stakeholders understand the patterns of claims and payouts over a specific period.</w:t>
      </w:r>
    </w:p>
    <w:p w:rsidR="00000000" w:rsidDel="00000000" w:rsidP="00000000" w:rsidRDefault="00000000" w:rsidRPr="00000000" w14:paraId="00000005">
      <w:pPr>
        <w:pStyle w:val="Heading4"/>
        <w:keepNext w:val="0"/>
        <w:keepLines w:val="0"/>
        <w:spacing w:after="40" w:before="240" w:lineRule="auto"/>
        <w:ind w:left="0" w:firstLine="0"/>
        <w:rPr>
          <w:b w:val="1"/>
          <w:color w:val="000000"/>
          <w:sz w:val="22"/>
          <w:szCs w:val="22"/>
        </w:rPr>
      </w:pPr>
      <w:bookmarkStart w:colFirst="0" w:colLast="0" w:name="_sq7sfghoh5ux" w:id="3"/>
      <w:bookmarkEnd w:id="3"/>
      <w:r w:rsidDel="00000000" w:rsidR="00000000" w:rsidRPr="00000000">
        <w:rPr>
          <w:b w:val="1"/>
          <w:color w:val="000000"/>
          <w:sz w:val="22"/>
          <w:szCs w:val="22"/>
          <w:rtl w:val="0"/>
        </w:rPr>
        <w:t xml:space="preserve">Structure Explanation</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The data is organised in a JSON format, which includes:</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Objects</w:t>
      </w:r>
      <w:r w:rsidDel="00000000" w:rsidR="00000000" w:rsidRPr="00000000">
        <w:rPr>
          <w:rtl w:val="0"/>
        </w:rPr>
        <w:t xml:space="preserve">: Key-value pairs that represent different elements of the data, such as transaction details and timestamps.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Arrays</w:t>
      </w:r>
      <w:r w:rsidDel="00000000" w:rsidR="00000000" w:rsidRPr="00000000">
        <w:rPr>
          <w:rtl w:val="0"/>
        </w:rPr>
        <w:t xml:space="preserve">: Collections of similar items, like the list of transaction data and payment instruments.</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Hierarchy</w:t>
      </w:r>
      <w:r w:rsidDel="00000000" w:rsidR="00000000" w:rsidRPr="00000000">
        <w:rPr>
          <w:rtl w:val="0"/>
        </w:rPr>
        <w:t xml:space="preserve">: The data has a hierarchical structure, with nested objects and arrays that group related information together. For instance, the </w:t>
      </w:r>
      <w:r w:rsidDel="00000000" w:rsidR="00000000" w:rsidRPr="00000000">
        <w:rPr>
          <w:rFonts w:ascii="Roboto Mono" w:cs="Roboto Mono" w:eastAsia="Roboto Mono" w:hAnsi="Roboto Mono"/>
          <w:color w:val="188038"/>
          <w:rtl w:val="0"/>
        </w:rPr>
        <w:t xml:space="preserve">transactionData</w:t>
      </w:r>
      <w:r w:rsidDel="00000000" w:rsidR="00000000" w:rsidRPr="00000000">
        <w:rPr>
          <w:rtl w:val="0"/>
        </w:rPr>
        <w:t xml:space="preserve"> array contains objects that further include arrays of </w:t>
      </w:r>
      <w:r w:rsidDel="00000000" w:rsidR="00000000" w:rsidRPr="00000000">
        <w:rPr>
          <w:rFonts w:ascii="Roboto Mono" w:cs="Roboto Mono" w:eastAsia="Roboto Mono" w:hAnsi="Roboto Mono"/>
          <w:color w:val="188038"/>
          <w:rtl w:val="0"/>
        </w:rPr>
        <w:t xml:space="preserve">paymentInstruments</w:t>
      </w:r>
      <w:r w:rsidDel="00000000" w:rsidR="00000000" w:rsidRPr="00000000">
        <w:rPr>
          <w:rtl w:val="0"/>
        </w:rPr>
        <w:t xml:space="preserve">.</w:t>
      </w:r>
    </w:p>
    <w:p w:rsidR="00000000" w:rsidDel="00000000" w:rsidP="00000000" w:rsidRDefault="00000000" w:rsidRPr="00000000" w14:paraId="0000000A">
      <w:pPr>
        <w:pStyle w:val="Heading4"/>
        <w:keepNext w:val="0"/>
        <w:keepLines w:val="0"/>
        <w:spacing w:after="40" w:before="240" w:lineRule="auto"/>
        <w:ind w:left="0" w:firstLine="0"/>
        <w:rPr>
          <w:b w:val="1"/>
          <w:color w:val="000000"/>
          <w:sz w:val="22"/>
          <w:szCs w:val="22"/>
        </w:rPr>
      </w:pPr>
      <w:bookmarkStart w:colFirst="0" w:colLast="0" w:name="_hjovn91rq3zt" w:id="4"/>
      <w:bookmarkEnd w:id="4"/>
      <w:r w:rsidDel="00000000" w:rsidR="00000000" w:rsidRPr="00000000">
        <w:rPr>
          <w:b w:val="1"/>
          <w:color w:val="000000"/>
          <w:sz w:val="22"/>
          <w:szCs w:val="22"/>
          <w:rtl w:val="0"/>
        </w:rPr>
        <w:t xml:space="preserve">Key Components</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success</w:t>
      </w:r>
      <w:r w:rsidDel="00000000" w:rsidR="00000000" w:rsidRPr="00000000">
        <w:rPr>
          <w:rtl w:val="0"/>
        </w:rPr>
        <w:t xml:space="preserve">: A boolean indicating the success of the data retrieval process.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code</w:t>
      </w:r>
      <w:r w:rsidDel="00000000" w:rsidR="00000000" w:rsidRPr="00000000">
        <w:rPr>
          <w:rtl w:val="0"/>
        </w:rPr>
        <w:t xml:space="preserve">: A string indicating the response status, such as "SUCCESS".</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data</w:t>
      </w:r>
      <w:r w:rsidDel="00000000" w:rsidR="00000000" w:rsidRPr="00000000">
        <w:rPr>
          <w:rtl w:val="0"/>
        </w:rPr>
        <w:t xml:space="preserve">: The main container for the dataset, including:</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rtl w:val="0"/>
        </w:rPr>
        <w:t xml:space="preserve">from</w:t>
      </w:r>
      <w:r w:rsidDel="00000000" w:rsidR="00000000" w:rsidRPr="00000000">
        <w:rPr>
          <w:rtl w:val="0"/>
        </w:rPr>
        <w:t xml:space="preserve">: A timestamp representing the start date of the data range.</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b w:val="1"/>
          <w:rtl w:val="0"/>
        </w:rPr>
        <w:t xml:space="preserve">to</w:t>
      </w:r>
      <w:r w:rsidDel="00000000" w:rsidR="00000000" w:rsidRPr="00000000">
        <w:rPr>
          <w:rtl w:val="0"/>
        </w:rPr>
        <w:t xml:space="preserve">: A timestamp representing the end date of the data range.</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rtl w:val="0"/>
        </w:rPr>
        <w:t xml:space="preserve">transactionData</w:t>
      </w:r>
      <w:r w:rsidDel="00000000" w:rsidR="00000000" w:rsidRPr="00000000">
        <w:rPr>
          <w:rtl w:val="0"/>
        </w:rPr>
        <w:t xml:space="preserve">: An array containing details about different types of transactions. Each entry in this array includes:</w:t>
      </w:r>
    </w:p>
    <w:p w:rsidR="00000000" w:rsidDel="00000000" w:rsidP="00000000" w:rsidRDefault="00000000" w:rsidRPr="00000000" w14:paraId="00000011">
      <w:pPr>
        <w:numPr>
          <w:ilvl w:val="2"/>
          <w:numId w:val="1"/>
        </w:numPr>
        <w:spacing w:after="0" w:afterAutospacing="0" w:before="0" w:beforeAutospacing="0" w:lineRule="auto"/>
        <w:ind w:left="2160" w:hanging="360"/>
      </w:pPr>
      <w:r w:rsidDel="00000000" w:rsidR="00000000" w:rsidRPr="00000000">
        <w:rPr>
          <w:b w:val="1"/>
          <w:rtl w:val="0"/>
        </w:rPr>
        <w:t xml:space="preserve">name</w:t>
      </w:r>
      <w:r w:rsidDel="00000000" w:rsidR="00000000" w:rsidRPr="00000000">
        <w:rPr>
          <w:rtl w:val="0"/>
        </w:rPr>
        <w:t xml:space="preserve">: The category or type of transaction, such as "Insurance".</w:t>
      </w:r>
    </w:p>
    <w:p w:rsidR="00000000" w:rsidDel="00000000" w:rsidP="00000000" w:rsidRDefault="00000000" w:rsidRPr="00000000" w14:paraId="00000012">
      <w:pPr>
        <w:numPr>
          <w:ilvl w:val="2"/>
          <w:numId w:val="1"/>
        </w:numPr>
        <w:spacing w:after="0" w:afterAutospacing="0" w:before="0" w:beforeAutospacing="0" w:lineRule="auto"/>
        <w:ind w:left="2160" w:hanging="360"/>
      </w:pPr>
      <w:r w:rsidDel="00000000" w:rsidR="00000000" w:rsidRPr="00000000">
        <w:rPr>
          <w:b w:val="1"/>
          <w:rtl w:val="0"/>
        </w:rPr>
        <w:t xml:space="preserve">paymentInstruments</w:t>
      </w:r>
      <w:r w:rsidDel="00000000" w:rsidR="00000000" w:rsidRPr="00000000">
        <w:rPr>
          <w:rtl w:val="0"/>
        </w:rPr>
        <w:t xml:space="preserve">: An array of objects detailing the payment methods, each with:</w:t>
      </w:r>
    </w:p>
    <w:p w:rsidR="00000000" w:rsidDel="00000000" w:rsidP="00000000" w:rsidRDefault="00000000" w:rsidRPr="00000000" w14:paraId="00000013">
      <w:pPr>
        <w:numPr>
          <w:ilvl w:val="3"/>
          <w:numId w:val="1"/>
        </w:numPr>
        <w:spacing w:after="0" w:afterAutospacing="0" w:before="0" w:beforeAutospacing="0" w:lineRule="auto"/>
        <w:ind w:left="2880" w:hanging="360"/>
      </w:pPr>
      <w:r w:rsidDel="00000000" w:rsidR="00000000" w:rsidRPr="00000000">
        <w:rPr>
          <w:b w:val="1"/>
          <w:rtl w:val="0"/>
        </w:rPr>
        <w:t xml:space="preserve">type</w:t>
      </w:r>
      <w:r w:rsidDel="00000000" w:rsidR="00000000" w:rsidRPr="00000000">
        <w:rPr>
          <w:rtl w:val="0"/>
        </w:rPr>
        <w:t xml:space="preserve">: The type of payment instrument, like "TOTAL".</w:t>
      </w:r>
    </w:p>
    <w:p w:rsidR="00000000" w:rsidDel="00000000" w:rsidP="00000000" w:rsidRDefault="00000000" w:rsidRPr="00000000" w14:paraId="00000014">
      <w:pPr>
        <w:numPr>
          <w:ilvl w:val="3"/>
          <w:numId w:val="1"/>
        </w:numPr>
        <w:spacing w:after="0" w:afterAutospacing="0" w:before="0" w:beforeAutospacing="0" w:lineRule="auto"/>
        <w:ind w:left="2880" w:hanging="360"/>
      </w:pPr>
      <w:r w:rsidDel="00000000" w:rsidR="00000000" w:rsidRPr="00000000">
        <w:rPr>
          <w:b w:val="1"/>
          <w:rtl w:val="0"/>
        </w:rPr>
        <w:t xml:space="preserve">count</w:t>
      </w:r>
      <w:r w:rsidDel="00000000" w:rsidR="00000000" w:rsidRPr="00000000">
        <w:rPr>
          <w:rtl w:val="0"/>
        </w:rPr>
        <w:t xml:space="preserve">: The number of transactions.</w:t>
      </w:r>
    </w:p>
    <w:p w:rsidR="00000000" w:rsidDel="00000000" w:rsidP="00000000" w:rsidRDefault="00000000" w:rsidRPr="00000000" w14:paraId="00000015">
      <w:pPr>
        <w:numPr>
          <w:ilvl w:val="3"/>
          <w:numId w:val="1"/>
        </w:numPr>
        <w:spacing w:after="0" w:afterAutospacing="0" w:before="0" w:beforeAutospacing="0" w:lineRule="auto"/>
        <w:ind w:left="2880" w:hanging="360"/>
      </w:pPr>
      <w:r w:rsidDel="00000000" w:rsidR="00000000" w:rsidRPr="00000000">
        <w:rPr>
          <w:b w:val="1"/>
          <w:rtl w:val="0"/>
        </w:rPr>
        <w:t xml:space="preserve">amount</w:t>
      </w:r>
      <w:r w:rsidDel="00000000" w:rsidR="00000000" w:rsidRPr="00000000">
        <w:rPr>
          <w:rtl w:val="0"/>
        </w:rPr>
        <w:t xml:space="preserve">: The total monetary value of the transactions.</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b w:val="1"/>
          <w:rtl w:val="0"/>
        </w:rPr>
        <w:t xml:space="preserve">responseTimestamp</w:t>
      </w:r>
      <w:r w:rsidDel="00000000" w:rsidR="00000000" w:rsidRPr="00000000">
        <w:rPr>
          <w:rtl w:val="0"/>
        </w:rPr>
        <w:t xml:space="preserve">: A timestamp indicating when the data response was generated.</w:t>
      </w:r>
    </w:p>
    <w:p w:rsidR="00000000" w:rsidDel="00000000" w:rsidP="00000000" w:rsidRDefault="00000000" w:rsidRPr="00000000" w14:paraId="00000017">
      <w:pPr>
        <w:pStyle w:val="Heading3"/>
        <w:keepNext w:val="0"/>
        <w:keepLines w:val="0"/>
        <w:spacing w:before="280" w:lineRule="auto"/>
        <w:ind w:left="0" w:firstLine="0"/>
        <w:rPr>
          <w:b w:val="1"/>
          <w:color w:val="000000"/>
          <w:sz w:val="26"/>
          <w:szCs w:val="26"/>
          <w:u w:val="single"/>
        </w:rPr>
      </w:pPr>
      <w:bookmarkStart w:colFirst="0" w:colLast="0" w:name="_xddx1lor08sh" w:id="5"/>
      <w:bookmarkEnd w:id="5"/>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keepNext w:val="0"/>
        <w:keepLines w:val="0"/>
        <w:numPr>
          <w:ilvl w:val="0"/>
          <w:numId w:val="1"/>
        </w:numPr>
        <w:spacing w:before="280" w:lineRule="auto"/>
        <w:ind w:left="720" w:hanging="360"/>
        <w:rPr>
          <w:b w:val="1"/>
          <w:color w:val="000000"/>
          <w:sz w:val="26"/>
          <w:szCs w:val="26"/>
        </w:rPr>
      </w:pPr>
      <w:bookmarkStart w:colFirst="0" w:colLast="0" w:name="_fugn2ctwgbf6" w:id="6"/>
      <w:bookmarkEnd w:id="6"/>
      <w:r w:rsidDel="00000000" w:rsidR="00000000" w:rsidRPr="00000000">
        <w:rPr>
          <w:b w:val="1"/>
          <w:color w:val="000000"/>
          <w:sz w:val="26"/>
          <w:szCs w:val="26"/>
          <w:u w:val="single"/>
          <w:rtl w:val="0"/>
        </w:rPr>
        <w:t xml:space="preserve">Table Column Identification:-</w:t>
      </w:r>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wyfdk7sdcspv" w:id="7"/>
      <w:bookmarkEnd w:id="7"/>
      <w:r w:rsidDel="00000000" w:rsidR="00000000" w:rsidRPr="00000000">
        <w:rPr>
          <w:b w:val="1"/>
          <w:color w:val="000000"/>
          <w:sz w:val="22"/>
          <w:szCs w:val="22"/>
          <w:rtl w:val="0"/>
        </w:rPr>
        <w:t xml:space="preserve">Relevant Columns</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b w:val="1"/>
          <w:rtl w:val="0"/>
        </w:rPr>
        <w:t xml:space="preserve">From</w:t>
      </w:r>
      <w:r w:rsidDel="00000000" w:rsidR="00000000" w:rsidRPr="00000000">
        <w:rPr>
          <w:rtl w:val="0"/>
        </w:rPr>
        <w:t xml:space="preserve">:</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The starting timestamp of the data range.</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Indicates the beginning of the period for which the data is collected, essential for time-based analysis.</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To</w:t>
      </w:r>
      <w:r w:rsidDel="00000000" w:rsidR="00000000" w:rsidRPr="00000000">
        <w:rPr>
          <w:rtl w:val="0"/>
        </w:rPr>
        <w:t xml:space="preserve">:</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The ending timestamp of the data range.</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Marks the end of the data collection period, important for defining the scope of analysis.</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TransactionData</w:t>
      </w:r>
      <w:r w:rsidDel="00000000" w:rsidR="00000000" w:rsidRPr="00000000">
        <w:rPr>
          <w:rtl w:val="0"/>
        </w:rPr>
        <w:t xml:space="preserve">:</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Contains the details of different transaction types or categories.</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Provides insights into the types of transactions, which is crucial for categorising and analysing the data.</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Name</w:t>
      </w:r>
      <w:r w:rsidDel="00000000" w:rsidR="00000000" w:rsidRPr="00000000">
        <w:rPr>
          <w:rtl w:val="0"/>
        </w:rPr>
        <w:t xml:space="preserve">:</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The name of the transaction type, such as "Insurance".</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Identifies the category of transactions, essential for distinguishing between different types of financial activities.</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PaymentInstruments</w:t>
      </w:r>
      <w:r w:rsidDel="00000000" w:rsidR="00000000" w:rsidRPr="00000000">
        <w:rPr>
          <w:rtl w:val="0"/>
        </w:rPr>
        <w:t xml:space="preserve">:</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Details the payment methods used, including type, count, and amount.</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Important for understanding the payment distribution, transaction frequency, and financial impact.</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Specifies the type of payment instrument (e.g., "TOTAL").</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Useful for identifying the aggregate data across all transactions.</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Count</w:t>
      </w:r>
      <w:r w:rsidDel="00000000" w:rsidR="00000000" w:rsidRPr="00000000">
        <w:rPr>
          <w:rtl w:val="0"/>
        </w:rPr>
        <w:t xml:space="preserve">:</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The number of transactions within a given category and period.</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Key for analysing transaction volume and frequency.</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b w:val="1"/>
          <w:rtl w:val="0"/>
        </w:rPr>
        <w:t xml:space="preserve">Amount</w:t>
      </w:r>
      <w:r w:rsidDel="00000000" w:rsidR="00000000" w:rsidRPr="00000000">
        <w:rPr>
          <w:rtl w:val="0"/>
        </w:rPr>
        <w:t xml:space="preserve">:</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The total monetary value of transactions.</w:t>
      </w:r>
    </w:p>
    <w:p w:rsidR="00000000" w:rsidDel="00000000" w:rsidP="00000000" w:rsidRDefault="00000000" w:rsidRPr="00000000" w14:paraId="00000032">
      <w:pPr>
        <w:numPr>
          <w:ilvl w:val="1"/>
          <w:numId w:val="3"/>
        </w:numPr>
        <w:spacing w:after="240" w:before="0" w:beforeAutospacing="0" w:lineRule="auto"/>
        <w:ind w:left="1440" w:hanging="360"/>
      </w:pPr>
      <w:r w:rsidDel="00000000" w:rsidR="00000000" w:rsidRPr="00000000">
        <w:rPr>
          <w:b w:val="1"/>
          <w:rtl w:val="0"/>
        </w:rPr>
        <w:t xml:space="preserve">Importance</w:t>
      </w:r>
      <w:r w:rsidDel="00000000" w:rsidR="00000000" w:rsidRPr="00000000">
        <w:rPr>
          <w:rtl w:val="0"/>
        </w:rPr>
        <w:t xml:space="preserve">: Crucial for financial analysis and understanding the economic impact of the transactions.</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kkjz9r9gy4qj" w:id="8"/>
      <w:bookmarkEnd w:id="8"/>
      <w:r w:rsidDel="00000000" w:rsidR="00000000" w:rsidRPr="00000000">
        <w:rPr>
          <w:b w:val="1"/>
          <w:color w:val="000000"/>
          <w:sz w:val="26"/>
          <w:szCs w:val="26"/>
          <w:rtl w:val="0"/>
        </w:rPr>
        <w:t xml:space="preserve">Proposed Tables</w:t>
      </w:r>
    </w:p>
    <w:p w:rsidR="00000000" w:rsidDel="00000000" w:rsidP="00000000" w:rsidRDefault="00000000" w:rsidRPr="00000000" w14:paraId="00000034">
      <w:pPr>
        <w:numPr>
          <w:ilvl w:val="0"/>
          <w:numId w:val="2"/>
        </w:numPr>
        <w:spacing w:after="0" w:afterAutospacing="0" w:before="240" w:lineRule="auto"/>
        <w:ind w:left="720" w:hanging="360"/>
      </w:pPr>
      <w:r w:rsidDel="00000000" w:rsidR="00000000" w:rsidRPr="00000000">
        <w:rPr>
          <w:b w:val="1"/>
          <w:rtl w:val="0"/>
        </w:rPr>
        <w:t xml:space="preserve">Transactions Summary Table</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To provide an overview of the total number of transactions and the total amount transacted within the given period.</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b w:val="1"/>
          <w:rtl w:val="0"/>
        </w:rPr>
        <w:t xml:space="preserve">Columns</w:t>
      </w:r>
      <w:r w:rsidDel="00000000" w:rsidR="00000000" w:rsidRPr="00000000">
        <w:rPr>
          <w:rtl w:val="0"/>
        </w:rPr>
        <w:t xml:space="preserve">:</w:t>
      </w:r>
    </w:p>
    <w:p w:rsidR="00000000" w:rsidDel="00000000" w:rsidP="00000000" w:rsidRDefault="00000000" w:rsidRPr="00000000" w14:paraId="00000037">
      <w:pPr>
        <w:numPr>
          <w:ilvl w:val="2"/>
          <w:numId w:val="2"/>
        </w:numPr>
        <w:spacing w:after="0" w:afterAutospacing="0" w:before="0" w:beforeAutospacing="0" w:lineRule="auto"/>
        <w:ind w:left="2160" w:hanging="360"/>
      </w:pPr>
      <w:r w:rsidDel="00000000" w:rsidR="00000000" w:rsidRPr="00000000">
        <w:rPr>
          <w:b w:val="1"/>
          <w:rtl w:val="0"/>
        </w:rPr>
        <w:t xml:space="preserve">from</w:t>
      </w:r>
      <w:r w:rsidDel="00000000" w:rsidR="00000000" w:rsidRPr="00000000">
        <w:rPr>
          <w:rtl w:val="0"/>
        </w:rPr>
        <w:t xml:space="preserve"> (Start Date)</w:t>
      </w:r>
    </w:p>
    <w:p w:rsidR="00000000" w:rsidDel="00000000" w:rsidP="00000000" w:rsidRDefault="00000000" w:rsidRPr="00000000" w14:paraId="00000038">
      <w:pPr>
        <w:numPr>
          <w:ilvl w:val="2"/>
          <w:numId w:val="2"/>
        </w:numPr>
        <w:spacing w:after="0" w:afterAutospacing="0" w:before="0" w:beforeAutospacing="0" w:lineRule="auto"/>
        <w:ind w:left="2160" w:hanging="360"/>
      </w:pPr>
      <w:r w:rsidDel="00000000" w:rsidR="00000000" w:rsidRPr="00000000">
        <w:rPr>
          <w:b w:val="1"/>
          <w:rtl w:val="0"/>
        </w:rPr>
        <w:t xml:space="preserve">to</w:t>
      </w:r>
      <w:r w:rsidDel="00000000" w:rsidR="00000000" w:rsidRPr="00000000">
        <w:rPr>
          <w:rtl w:val="0"/>
        </w:rPr>
        <w:t xml:space="preserve"> (End Date)</w:t>
      </w:r>
    </w:p>
    <w:p w:rsidR="00000000" w:rsidDel="00000000" w:rsidP="00000000" w:rsidRDefault="00000000" w:rsidRPr="00000000" w14:paraId="00000039">
      <w:pPr>
        <w:numPr>
          <w:ilvl w:val="2"/>
          <w:numId w:val="2"/>
        </w:numPr>
        <w:spacing w:after="0" w:afterAutospacing="0" w:before="0" w:beforeAutospacing="0" w:lineRule="auto"/>
        <w:ind w:left="2160" w:hanging="360"/>
      </w:pPr>
      <w:r w:rsidDel="00000000" w:rsidR="00000000" w:rsidRPr="00000000">
        <w:rPr>
          <w:b w:val="1"/>
          <w:rtl w:val="0"/>
        </w:rPr>
        <w:t xml:space="preserve">count</w:t>
      </w:r>
      <w:r w:rsidDel="00000000" w:rsidR="00000000" w:rsidRPr="00000000">
        <w:rPr>
          <w:rtl w:val="0"/>
        </w:rPr>
        <w:t xml:space="preserve"> (Total Transactions)</w:t>
      </w:r>
    </w:p>
    <w:p w:rsidR="00000000" w:rsidDel="00000000" w:rsidP="00000000" w:rsidRDefault="00000000" w:rsidRPr="00000000" w14:paraId="0000003A">
      <w:pPr>
        <w:numPr>
          <w:ilvl w:val="2"/>
          <w:numId w:val="2"/>
        </w:numPr>
        <w:spacing w:after="0" w:afterAutospacing="0" w:before="0" w:beforeAutospacing="0" w:lineRule="auto"/>
        <w:ind w:left="2160" w:hanging="360"/>
      </w:pPr>
      <w:r w:rsidDel="00000000" w:rsidR="00000000" w:rsidRPr="00000000">
        <w:rPr>
          <w:b w:val="1"/>
          <w:rtl w:val="0"/>
        </w:rPr>
        <w:t xml:space="preserve">amount</w:t>
      </w:r>
      <w:r w:rsidDel="00000000" w:rsidR="00000000" w:rsidRPr="00000000">
        <w:rPr>
          <w:rtl w:val="0"/>
        </w:rPr>
        <w:t xml:space="preserve"> (Total Amount)</w:t>
      </w:r>
    </w:p>
    <w:p w:rsidR="00000000" w:rsidDel="00000000" w:rsidP="00000000" w:rsidRDefault="00000000" w:rsidRPr="00000000" w14:paraId="0000003B">
      <w:pPr>
        <w:numPr>
          <w:ilvl w:val="1"/>
          <w:numId w:val="2"/>
        </w:numPr>
        <w:spacing w:after="24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This table summarises the overall transaction activity, helping to quickly gauge the volume and value of transactions.</w:t>
      </w:r>
      <w:r w:rsidDel="00000000" w:rsidR="00000000" w:rsidRPr="00000000">
        <w:rPr>
          <w:rtl w:val="0"/>
        </w:rPr>
      </w:r>
    </w:p>
    <w:p w:rsidR="00000000" w:rsidDel="00000000" w:rsidP="00000000" w:rsidRDefault="00000000" w:rsidRPr="00000000" w14:paraId="0000003C">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3D">
      <w:pPr>
        <w:spacing w:after="240" w:before="240" w:lineRule="auto"/>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3F">
      <w:pPr>
        <w:numPr>
          <w:ilvl w:val="0"/>
          <w:numId w:val="2"/>
        </w:numPr>
        <w:spacing w:after="0" w:afterAutospacing="0" w:before="240" w:lineRule="auto"/>
        <w:ind w:left="720" w:hanging="360"/>
      </w:pPr>
      <w:r w:rsidDel="00000000" w:rsidR="00000000" w:rsidRPr="00000000">
        <w:rPr>
          <w:b w:val="1"/>
          <w:rtl w:val="0"/>
        </w:rPr>
        <w:t xml:space="preserve">Transaction Type Table</w:t>
      </w:r>
    </w:p>
    <w:p w:rsidR="00000000" w:rsidDel="00000000" w:rsidP="00000000" w:rsidRDefault="00000000" w:rsidRPr="00000000" w14:paraId="00000040">
      <w:pPr>
        <w:numPr>
          <w:ilvl w:val="1"/>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To detail the types of transactions and their respective volumes and amounts.</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b w:val="1"/>
          <w:rtl w:val="0"/>
        </w:rPr>
        <w:t xml:space="preserve">Columns</w:t>
      </w:r>
      <w:r w:rsidDel="00000000" w:rsidR="00000000" w:rsidRPr="00000000">
        <w:rPr>
          <w:rtl w:val="0"/>
        </w:rPr>
        <w:t xml:space="preserve">:</w:t>
      </w:r>
    </w:p>
    <w:p w:rsidR="00000000" w:rsidDel="00000000" w:rsidP="00000000" w:rsidRDefault="00000000" w:rsidRPr="00000000" w14:paraId="00000042">
      <w:pPr>
        <w:numPr>
          <w:ilvl w:val="2"/>
          <w:numId w:val="2"/>
        </w:numPr>
        <w:spacing w:after="0" w:afterAutospacing="0" w:before="0" w:beforeAutospacing="0" w:lineRule="auto"/>
        <w:ind w:left="2160" w:hanging="360"/>
      </w:pPr>
      <w:r w:rsidDel="00000000" w:rsidR="00000000" w:rsidRPr="00000000">
        <w:rPr>
          <w:b w:val="1"/>
          <w:rtl w:val="0"/>
        </w:rPr>
        <w:t xml:space="preserve">name</w:t>
      </w:r>
      <w:r w:rsidDel="00000000" w:rsidR="00000000" w:rsidRPr="00000000">
        <w:rPr>
          <w:rtl w:val="0"/>
        </w:rPr>
        <w:t xml:space="preserve"> (Transaction Type)</w:t>
      </w:r>
    </w:p>
    <w:p w:rsidR="00000000" w:rsidDel="00000000" w:rsidP="00000000" w:rsidRDefault="00000000" w:rsidRPr="00000000" w14:paraId="00000043">
      <w:pPr>
        <w:numPr>
          <w:ilvl w:val="2"/>
          <w:numId w:val="2"/>
        </w:numPr>
        <w:spacing w:after="0" w:afterAutospacing="0" w:before="0" w:beforeAutospacing="0" w:lineRule="auto"/>
        <w:ind w:left="2160" w:hanging="360"/>
      </w:pPr>
      <w:r w:rsidDel="00000000" w:rsidR="00000000" w:rsidRPr="00000000">
        <w:rPr>
          <w:b w:val="1"/>
          <w:rtl w:val="0"/>
        </w:rPr>
        <w:t xml:space="preserve">count</w:t>
      </w:r>
      <w:r w:rsidDel="00000000" w:rsidR="00000000" w:rsidRPr="00000000">
        <w:rPr>
          <w:rtl w:val="0"/>
        </w:rPr>
        <w:t xml:space="preserve"> (Transaction Count)</w:t>
      </w:r>
    </w:p>
    <w:p w:rsidR="00000000" w:rsidDel="00000000" w:rsidP="00000000" w:rsidRDefault="00000000" w:rsidRPr="00000000" w14:paraId="00000044">
      <w:pPr>
        <w:numPr>
          <w:ilvl w:val="2"/>
          <w:numId w:val="2"/>
        </w:numPr>
        <w:spacing w:after="0" w:afterAutospacing="0" w:before="0" w:beforeAutospacing="0" w:lineRule="auto"/>
        <w:ind w:left="2160" w:hanging="360"/>
      </w:pPr>
      <w:r w:rsidDel="00000000" w:rsidR="00000000" w:rsidRPr="00000000">
        <w:rPr>
          <w:b w:val="1"/>
          <w:rtl w:val="0"/>
        </w:rPr>
        <w:t xml:space="preserve">amount</w:t>
      </w:r>
      <w:r w:rsidDel="00000000" w:rsidR="00000000" w:rsidRPr="00000000">
        <w:rPr>
          <w:rtl w:val="0"/>
        </w:rPr>
        <w:t xml:space="preserve"> (Total Amount)</w:t>
      </w:r>
    </w:p>
    <w:p w:rsidR="00000000" w:rsidDel="00000000" w:rsidP="00000000" w:rsidRDefault="00000000" w:rsidRPr="00000000" w14:paraId="00000045">
      <w:pPr>
        <w:numPr>
          <w:ilvl w:val="1"/>
          <w:numId w:val="2"/>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This table allows for analysis of different transaction types, which can help in identifying trends and areas of focus.</w:t>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b w:val="1"/>
          <w:rtl w:val="0"/>
        </w:rPr>
        <w:t xml:space="preserve">Payment Instruments Table</w:t>
      </w:r>
    </w:p>
    <w:p w:rsidR="00000000" w:rsidDel="00000000" w:rsidP="00000000" w:rsidRDefault="00000000" w:rsidRPr="00000000" w14:paraId="00000047">
      <w:pPr>
        <w:numPr>
          <w:ilvl w:val="1"/>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To provide insights into the different payment instruments used across all transactions.</w:t>
      </w:r>
    </w:p>
    <w:p w:rsidR="00000000" w:rsidDel="00000000" w:rsidP="00000000" w:rsidRDefault="00000000" w:rsidRPr="00000000" w14:paraId="00000048">
      <w:pPr>
        <w:numPr>
          <w:ilvl w:val="1"/>
          <w:numId w:val="2"/>
        </w:numPr>
        <w:spacing w:after="0" w:afterAutospacing="0" w:before="0" w:beforeAutospacing="0" w:lineRule="auto"/>
        <w:ind w:left="1440" w:hanging="360"/>
      </w:pPr>
      <w:r w:rsidDel="00000000" w:rsidR="00000000" w:rsidRPr="00000000">
        <w:rPr>
          <w:b w:val="1"/>
          <w:rtl w:val="0"/>
        </w:rPr>
        <w:t xml:space="preserve">Columns</w:t>
      </w:r>
      <w:r w:rsidDel="00000000" w:rsidR="00000000" w:rsidRPr="00000000">
        <w:rPr>
          <w:rtl w:val="0"/>
        </w:rPr>
        <w:t xml:space="preserve">:</w:t>
      </w:r>
    </w:p>
    <w:p w:rsidR="00000000" w:rsidDel="00000000" w:rsidP="00000000" w:rsidRDefault="00000000" w:rsidRPr="00000000" w14:paraId="00000049">
      <w:pPr>
        <w:numPr>
          <w:ilvl w:val="2"/>
          <w:numId w:val="2"/>
        </w:numPr>
        <w:spacing w:after="0" w:afterAutospacing="0" w:before="0" w:beforeAutospacing="0" w:lineRule="auto"/>
        <w:ind w:left="2160" w:hanging="360"/>
      </w:pPr>
      <w:r w:rsidDel="00000000" w:rsidR="00000000" w:rsidRPr="00000000">
        <w:rPr>
          <w:b w:val="1"/>
          <w:rtl w:val="0"/>
        </w:rPr>
        <w:t xml:space="preserve">type</w:t>
      </w:r>
      <w:r w:rsidDel="00000000" w:rsidR="00000000" w:rsidRPr="00000000">
        <w:rPr>
          <w:rtl w:val="0"/>
        </w:rPr>
        <w:t xml:space="preserve"> (Payment Instrument Type)</w:t>
      </w:r>
      <w:r w:rsidDel="00000000" w:rsidR="00000000" w:rsidRPr="00000000">
        <w:rPr>
          <w:rtl w:val="0"/>
        </w:rPr>
      </w:r>
    </w:p>
    <w:p w:rsidR="00000000" w:rsidDel="00000000" w:rsidP="00000000" w:rsidRDefault="00000000" w:rsidRPr="00000000" w14:paraId="0000004A">
      <w:pPr>
        <w:numPr>
          <w:ilvl w:val="2"/>
          <w:numId w:val="2"/>
        </w:numPr>
        <w:spacing w:after="0" w:afterAutospacing="0" w:before="0" w:beforeAutospacing="0" w:lineRule="auto"/>
        <w:ind w:left="2160" w:hanging="360"/>
      </w:pPr>
      <w:r w:rsidDel="00000000" w:rsidR="00000000" w:rsidRPr="00000000">
        <w:rPr>
          <w:b w:val="1"/>
          <w:rtl w:val="0"/>
        </w:rPr>
        <w:t xml:space="preserve">count</w:t>
      </w:r>
      <w:r w:rsidDel="00000000" w:rsidR="00000000" w:rsidRPr="00000000">
        <w:rPr>
          <w:rtl w:val="0"/>
        </w:rPr>
        <w:t xml:space="preserve"> (Transaction Count per Instrument)</w:t>
      </w:r>
    </w:p>
    <w:p w:rsidR="00000000" w:rsidDel="00000000" w:rsidP="00000000" w:rsidRDefault="00000000" w:rsidRPr="00000000" w14:paraId="0000004B">
      <w:pPr>
        <w:numPr>
          <w:ilvl w:val="2"/>
          <w:numId w:val="2"/>
        </w:numPr>
        <w:spacing w:after="0" w:afterAutospacing="0" w:before="0" w:beforeAutospacing="0" w:lineRule="auto"/>
        <w:ind w:left="2160" w:hanging="360"/>
      </w:pPr>
      <w:r w:rsidDel="00000000" w:rsidR="00000000" w:rsidRPr="00000000">
        <w:rPr>
          <w:b w:val="1"/>
          <w:rtl w:val="0"/>
        </w:rPr>
        <w:t xml:space="preserve">amount</w:t>
      </w:r>
      <w:r w:rsidDel="00000000" w:rsidR="00000000" w:rsidRPr="00000000">
        <w:rPr>
          <w:rtl w:val="0"/>
        </w:rPr>
        <w:t xml:space="preserve"> (Total Amount per Instrument)</w:t>
      </w:r>
    </w:p>
    <w:p w:rsidR="00000000" w:rsidDel="00000000" w:rsidP="00000000" w:rsidRDefault="00000000" w:rsidRPr="00000000" w14:paraId="0000004C">
      <w:pPr>
        <w:numPr>
          <w:ilvl w:val="1"/>
          <w:numId w:val="2"/>
        </w:numPr>
        <w:spacing w:after="24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This table is essential for understanding the distribution and preference of payment methods, which can be crucial for strategic decisions and improving financial services</w:t>
      </w: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731200" cy="3225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pgSz w:h="16834" w:w="11909" w:orient="portrait"/>
      <w:pgMar w:bottom="1440" w:top="1440" w:left="1440" w:right="1440" w:header="566.9291338582677"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pStyle w:val="Title"/>
      <w:rPr/>
    </w:pPr>
    <w:bookmarkStart w:colFirst="0" w:colLast="0" w:name="_hvqkxrxjmhjs" w:id="9"/>
    <w:bookmarkEnd w:id="9"/>
    <w:r w:rsidDel="00000000" w:rsidR="00000000" w:rsidRPr="00000000">
      <w:rPr>
        <w:rtl w:val="0"/>
      </w:rPr>
      <w:t xml:space="preserve">  </w:t>
    </w:r>
    <w:r w:rsidDel="00000000" w:rsidR="00000000" w:rsidRPr="00000000">
      <w:rPr>
        <w:i w:val="1"/>
        <w:sz w:val="84"/>
        <w:szCs w:val="84"/>
        <w:rtl w:val="0"/>
      </w:rPr>
      <w:t xml:space="preserve"> </w:t>
    </w:r>
    <w:r w:rsidDel="00000000" w:rsidR="00000000" w:rsidRPr="00000000">
      <w:rPr>
        <w:rFonts w:ascii="Impact" w:cs="Impact" w:eastAsia="Impact" w:hAnsi="Impact"/>
        <w:i w:val="1"/>
        <w:color w:val="0000ff"/>
        <w:sz w:val="84"/>
        <w:szCs w:val="84"/>
        <w:u w:val="single"/>
        <w:rtl w:val="0"/>
      </w:rPr>
      <w:t xml:space="preserve">PhonePe</w:t>
    </w:r>
    <w:r w:rsidDel="00000000" w:rsidR="00000000" w:rsidRPr="00000000">
      <w:rPr/>
      <w:drawing>
        <wp:inline distB="114300" distT="114300" distL="114300" distR="114300">
          <wp:extent cx="1371600" cy="71913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71600" cy="719138"/>
                  </a:xfrm>
                  <a:prstGeom prst="rect"/>
                  <a:ln/>
                </pic:spPr>
              </pic:pic>
            </a:graphicData>
          </a:graphic>
        </wp:inline>
      </w:drawing>
    </w:r>
    <w:r w:rsidDel="00000000" w:rsidR="00000000" w:rsidRPr="00000000">
      <w:rPr>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1371600" cy="71913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71600" cy="71913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