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f842052e02ddcf7d9534269dec5d7a0955bee7"/>
    <w:p>
      <w:pPr>
        <w:pStyle w:val="Heading1"/>
      </w:pPr>
      <w:r>
        <w:t xml:space="preserve">Calm Portal – Full Technical Specification Document</w:t>
      </w:r>
    </w:p>
    <w:p>
      <w:pPr>
        <w:pStyle w:val="FirstParagraph"/>
      </w:pPr>
      <w:r>
        <w:t xml:space="preserve">This document contains the complete functional and technical specification for the</w:t>
      </w:r>
      <w:r>
        <w:t xml:space="preserve"> </w:t>
      </w:r>
      <w:r>
        <w:rPr>
          <w:b/>
          <w:bCs/>
        </w:rPr>
        <w:t xml:space="preserve">Calm Portal</w:t>
      </w:r>
      <w:r>
        <w:t xml:space="preserve"> </w:t>
      </w:r>
      <w:r>
        <w:t xml:space="preserve">application, based exactly on your requirements. It includes all phases, all features, and all relevant government integration details and links.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1"/>
      </w:pPr>
      <w:r>
        <w:rPr>
          <w:b/>
          <w:bCs/>
        </w:rPr>
        <w:t xml:space="preserve">1. OVERVIEW</w:t>
      </w:r>
    </w:p>
    <w:p>
      <w:pPr>
        <w:pStyle w:val="FirstParagraph"/>
      </w:pPr>
      <w:r>
        <w:t xml:space="preserve">Calm Portal is a unified insurance management platform with the following primary goals:</w:t>
      </w:r>
      <w:r>
        <w:t xml:space="preserve"> </w:t>
      </w:r>
      <w:r>
        <w:t xml:space="preserve">- Super-user (Agent/Agency) has full backend control.</w:t>
      </w:r>
      <w:r>
        <w:t xml:space="preserve"> </w:t>
      </w:r>
      <w:r>
        <w:t xml:space="preserve">- Client has limited access: read-only for policy details, controlled updates.</w:t>
      </w:r>
      <w:r>
        <w:t xml:space="preserve"> </w:t>
      </w:r>
      <w:r>
        <w:t xml:space="preserve">- Integrations with Aadhaar, PAN, DigiLocker, and insurer portals.</w:t>
      </w:r>
      <w:r>
        <w:t xml:space="preserve"> </w:t>
      </w:r>
      <w:r>
        <w:t xml:space="preserve">- Strong focus on policy comparison, premium calculation, presentations, and renewal automation.</w:t>
      </w:r>
      <w:r>
        <w:t xml:space="preserve"> </w:t>
      </w:r>
      <w:r>
        <w:t xml:space="preserve">- User-friendly design for both agent and client.</w:t>
      </w:r>
    </w:p>
    <w:p>
      <w:r>
        <w:pict>
          <v:rect style="width:0;height:1.5pt" o:hralign="center" o:hrstd="t" o:hr="t"/>
        </w:pict>
      </w:r>
    </w:p>
    <w:bookmarkEnd w:id="21"/>
    <w:bookmarkStart w:id="24" w:name="system-roles"/>
    <w:p>
      <w:pPr>
        <w:pStyle w:val="Heading1"/>
      </w:pPr>
      <w:r>
        <w:rPr>
          <w:b/>
          <w:bCs/>
        </w:rPr>
        <w:t xml:space="preserve">2. SYSTEM ROLES</w:t>
      </w:r>
    </w:p>
    <w:bookmarkStart w:id="22" w:name="super-user-agentagency"/>
    <w:p>
      <w:pPr>
        <w:pStyle w:val="Heading3"/>
      </w:pPr>
      <w:r>
        <w:rPr>
          <w:b/>
          <w:bCs/>
        </w:rPr>
        <w:t xml:space="preserve">2.1 Super User (Agent/Agency)</w:t>
      </w:r>
    </w:p>
    <w:p>
      <w:pPr>
        <w:pStyle w:val="Compact"/>
        <w:numPr>
          <w:ilvl w:val="0"/>
          <w:numId w:val="1001"/>
        </w:numPr>
      </w:pPr>
      <w:r>
        <w:t xml:space="preserve">Full dashboard access.</w:t>
      </w:r>
    </w:p>
    <w:p>
      <w:pPr>
        <w:pStyle w:val="Compact"/>
        <w:numPr>
          <w:ilvl w:val="0"/>
          <w:numId w:val="1001"/>
        </w:numPr>
      </w:pPr>
      <w:r>
        <w:t xml:space="preserve">Read-only identity access (client KYC data).</w:t>
      </w:r>
    </w:p>
    <w:p>
      <w:pPr>
        <w:pStyle w:val="Compact"/>
        <w:numPr>
          <w:ilvl w:val="0"/>
          <w:numId w:val="1001"/>
        </w:numPr>
      </w:pPr>
      <w:r>
        <w:t xml:space="preserve">Can initiate KYC update requests.</w:t>
      </w:r>
    </w:p>
    <w:p>
      <w:pPr>
        <w:pStyle w:val="Compact"/>
        <w:numPr>
          <w:ilvl w:val="0"/>
          <w:numId w:val="1001"/>
        </w:numPr>
      </w:pPr>
      <w:r>
        <w:t xml:space="preserve">Can view/edit policy catalogue, premium charts.</w:t>
      </w:r>
    </w:p>
    <w:p>
      <w:pPr>
        <w:pStyle w:val="Compact"/>
        <w:numPr>
          <w:ilvl w:val="0"/>
          <w:numId w:val="1001"/>
        </w:numPr>
      </w:pPr>
      <w:r>
        <w:t xml:space="preserve">Can generate presentations.</w:t>
      </w:r>
    </w:p>
    <w:p>
      <w:pPr>
        <w:pStyle w:val="Compact"/>
        <w:numPr>
          <w:ilvl w:val="0"/>
          <w:numId w:val="1001"/>
        </w:numPr>
      </w:pPr>
      <w:r>
        <w:t xml:space="preserve">Can access insurer portals via auto-login (if supported).</w:t>
      </w:r>
    </w:p>
    <w:p>
      <w:pPr>
        <w:pStyle w:val="Compact"/>
        <w:numPr>
          <w:ilvl w:val="0"/>
          <w:numId w:val="1001"/>
        </w:numPr>
      </w:pPr>
      <w:r>
        <w:t xml:space="preserve">Can view renewal queues, claims queues.</w:t>
      </w:r>
    </w:p>
    <w:bookmarkEnd w:id="22"/>
    <w:bookmarkStart w:id="23" w:name="clientuser"/>
    <w:p>
      <w:pPr>
        <w:pStyle w:val="Heading3"/>
      </w:pPr>
      <w:r>
        <w:rPr>
          <w:b/>
          <w:bCs/>
        </w:rPr>
        <w:t xml:space="preserve">2.2 Client/User</w:t>
      </w:r>
    </w:p>
    <w:p>
      <w:pPr>
        <w:pStyle w:val="Compact"/>
        <w:numPr>
          <w:ilvl w:val="0"/>
          <w:numId w:val="1002"/>
        </w:numPr>
      </w:pPr>
      <w:r>
        <w:t xml:space="preserve">Login to see own policies.</w:t>
      </w:r>
    </w:p>
    <w:p>
      <w:pPr>
        <w:pStyle w:val="Compact"/>
        <w:numPr>
          <w:ilvl w:val="0"/>
          <w:numId w:val="1002"/>
        </w:numPr>
      </w:pPr>
      <w:r>
        <w:t xml:space="preserve">Read-only view of policy details.</w:t>
      </w:r>
    </w:p>
    <w:p>
      <w:pPr>
        <w:pStyle w:val="Compact"/>
        <w:numPr>
          <w:ilvl w:val="0"/>
          <w:numId w:val="1002"/>
        </w:numPr>
      </w:pPr>
      <w:r>
        <w:t xml:space="preserve">Can update personal data with verification.</w:t>
      </w:r>
    </w:p>
    <w:p>
      <w:pPr>
        <w:pStyle w:val="Compact"/>
        <w:numPr>
          <w:ilvl w:val="0"/>
          <w:numId w:val="1002"/>
        </w:numPr>
      </w:pPr>
      <w:r>
        <w:t xml:space="preserve">Receives renewal reminders.</w:t>
      </w:r>
    </w:p>
    <w:p>
      <w:pPr>
        <w:pStyle w:val="Compact"/>
        <w:numPr>
          <w:ilvl w:val="0"/>
          <w:numId w:val="1002"/>
        </w:numPr>
      </w:pPr>
      <w:r>
        <w:t xml:space="preserve">Can upload documents where asked.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Xbac8b7ef036a2bee53694ace64273f7c2c2d27b"/>
    <w:p>
      <w:pPr>
        <w:pStyle w:val="Heading1"/>
      </w:pPr>
      <w:r>
        <w:rPr>
          <w:b/>
          <w:bCs/>
        </w:rPr>
        <w:t xml:space="preserve">3. GOVERNMENT INTEGRATION – KYC / ID VERIFICATION</w:t>
      </w:r>
    </w:p>
    <w:p>
      <w:pPr>
        <w:pStyle w:val="FirstParagraph"/>
      </w:pPr>
      <w:r>
        <w:t xml:space="preserve">This is the most sensitive and regulated section. Below are the official integration options.</w:t>
      </w:r>
    </w:p>
    <w:bookmarkStart w:id="28" w:name="aadhaar-integration-options"/>
    <w:p>
      <w:pPr>
        <w:pStyle w:val="Heading2"/>
      </w:pPr>
      <w:r>
        <w:rPr>
          <w:b/>
          <w:bCs/>
        </w:rPr>
        <w:t xml:space="preserve">3.1 Aadhaar Integration Options</w:t>
      </w:r>
    </w:p>
    <w:bookmarkStart w:id="25" w:name="X0dfc7a5b56299d14e13a6bacab432750c89b077"/>
    <w:p>
      <w:pPr>
        <w:pStyle w:val="Heading3"/>
      </w:pPr>
      <w:r>
        <w:rPr>
          <w:b/>
          <w:bCs/>
        </w:rPr>
        <w:t xml:space="preserve">A. Live Aadhaar Authentication / e-KYC (AUA/KUA route)</w:t>
      </w:r>
    </w:p>
    <w:p>
      <w:pPr>
        <w:pStyle w:val="Compact"/>
        <w:numPr>
          <w:ilvl w:val="0"/>
          <w:numId w:val="1003"/>
        </w:numPr>
      </w:pPr>
      <w:r>
        <w:t xml:space="preserve">Allows demographic and eKYC fetch via OTP/biometric.</w:t>
      </w:r>
    </w:p>
    <w:p>
      <w:pPr>
        <w:pStyle w:val="Compact"/>
        <w:numPr>
          <w:ilvl w:val="0"/>
          <w:numId w:val="1003"/>
        </w:numPr>
      </w:pPr>
      <w:r>
        <w:t xml:space="preserve">Requires registration as AUA/KUA.</w:t>
      </w:r>
    </w:p>
    <w:p>
      <w:pPr>
        <w:pStyle w:val="Compact"/>
        <w:numPr>
          <w:ilvl w:val="0"/>
          <w:numId w:val="1003"/>
        </w:numPr>
      </w:pPr>
      <w:r>
        <w:t xml:space="preserve">Strict encryption, consent, and security regulations.</w:t>
      </w:r>
    </w:p>
    <w:p>
      <w:pPr>
        <w:pStyle w:val="FirstParagraph"/>
      </w:pPr>
      <w:r>
        <w:rPr>
          <w:b/>
          <w:bCs/>
        </w:rPr>
        <w:t xml:space="preserve">Official UIDAI Links:</w:t>
      </w:r>
      <w:r>
        <w:t xml:space="preserve"> </w:t>
      </w:r>
      <w:r>
        <w:t xml:space="preserve">- Aadhaar Authentication overview: https://uidai.gov.in/en/your-aadhaar/about-aadhaar/authentication</w:t>
      </w:r>
      <w:r>
        <w:t xml:space="preserve"> </w:t>
      </w:r>
      <w:r>
        <w:t xml:space="preserve">- UIDAI Developer documentation portal: https://www.uidai.gov.in</w:t>
      </w:r>
      <w:r>
        <w:t xml:space="preserve"> </w:t>
      </w:r>
      <w:r>
        <w:t xml:space="preserve">- Aadhaar e-KYC info: https://uidai.gov.in/en/your-aadhaar/about-aadhaar/ekyc</w:t>
      </w:r>
      <w:r>
        <w:t xml:space="preserve"> </w:t>
      </w:r>
      <w:r>
        <w:t xml:space="preserve">- AUA/KUA onboarding process: https://uidai.gov.in/en/ecosystem/authentication-agencies</w:t>
      </w:r>
      <w:r>
        <w:t xml:space="preserve"> </w:t>
      </w:r>
      <w:r>
        <w:t xml:space="preserve">- Authentication API details: https://uidai.gov.in/en/tech-center/authentication-api.html</w:t>
      </w:r>
    </w:p>
    <w:bookmarkEnd w:id="25"/>
    <w:bookmarkStart w:id="26" w:name="b.-offline-aadhaar-e-kyc-xml-recommended"/>
    <w:p>
      <w:pPr>
        <w:pStyle w:val="Heading3"/>
      </w:pPr>
      <w:r>
        <w:rPr>
          <w:b/>
          <w:bCs/>
        </w:rPr>
        <w:t xml:space="preserve">B. Offline Aadhaar e-KYC XML (Recommended)</w:t>
      </w:r>
    </w:p>
    <w:p>
      <w:pPr>
        <w:pStyle w:val="Compact"/>
        <w:numPr>
          <w:ilvl w:val="0"/>
          <w:numId w:val="1004"/>
        </w:numPr>
      </w:pPr>
      <w:r>
        <w:t xml:space="preserve">User downloads an Aadhaar-secured XML file.</w:t>
      </w:r>
    </w:p>
    <w:p>
      <w:pPr>
        <w:pStyle w:val="Compact"/>
        <w:numPr>
          <w:ilvl w:val="0"/>
          <w:numId w:val="1004"/>
        </w:numPr>
      </w:pPr>
      <w:r>
        <w:t xml:space="preserve">No live connection needed.</w:t>
      </w:r>
    </w:p>
    <w:p>
      <w:pPr>
        <w:pStyle w:val="Compact"/>
        <w:numPr>
          <w:ilvl w:val="0"/>
          <w:numId w:val="1004"/>
        </w:numPr>
      </w:pPr>
      <w:r>
        <w:t xml:space="preserve">Lower compliance overhead.</w:t>
      </w:r>
    </w:p>
    <w:p>
      <w:pPr>
        <w:pStyle w:val="FirstParagraph"/>
      </w:pPr>
      <w:r>
        <w:rPr>
          <w:b/>
          <w:bCs/>
        </w:rPr>
        <w:t xml:space="preserve">Official UIDAI Link:</w:t>
      </w:r>
      <w:r>
        <w:t xml:space="preserve"> </w:t>
      </w:r>
      <w:r>
        <w:t xml:space="preserve">- Offline KYC: https://uidai.gov.in/en/my-aadhaar/offline-kyc.html</w:t>
      </w:r>
    </w:p>
    <w:bookmarkEnd w:id="26"/>
    <w:bookmarkStart w:id="27" w:name="c.-digilocker-linkage-highly-recommended"/>
    <w:p>
      <w:pPr>
        <w:pStyle w:val="Heading3"/>
      </w:pPr>
      <w:r>
        <w:rPr>
          <w:b/>
          <w:bCs/>
        </w:rPr>
        <w:t xml:space="preserve">C. DigiLocker Linkage (Highly Recommended)</w:t>
      </w:r>
    </w:p>
    <w:p>
      <w:pPr>
        <w:pStyle w:val="Compact"/>
        <w:numPr>
          <w:ilvl w:val="0"/>
          <w:numId w:val="1005"/>
        </w:numPr>
      </w:pPr>
      <w:r>
        <w:t xml:space="preserve">Client logs in with DigiLocker.</w:t>
      </w:r>
    </w:p>
    <w:p>
      <w:pPr>
        <w:pStyle w:val="Compact"/>
        <w:numPr>
          <w:ilvl w:val="0"/>
          <w:numId w:val="1005"/>
        </w:numPr>
      </w:pPr>
      <w:r>
        <w:t xml:space="preserve">You fetch verified documents.</w:t>
      </w:r>
    </w:p>
    <w:p>
      <w:pPr>
        <w:pStyle w:val="Compact"/>
        <w:numPr>
          <w:ilvl w:val="0"/>
          <w:numId w:val="1005"/>
        </w:numPr>
      </w:pPr>
      <w:r>
        <w:t xml:space="preserve">Secure, government-approved, avoids storing Aadhaar.</w:t>
      </w:r>
    </w:p>
    <w:p>
      <w:pPr>
        <w:pStyle w:val="FirstParagraph"/>
      </w:pPr>
      <w:r>
        <w:rPr>
          <w:b/>
          <w:bCs/>
        </w:rPr>
        <w:t xml:space="preserve">Official DigiLocker Links:</w:t>
      </w:r>
      <w:r>
        <w:t xml:space="preserve"> </w:t>
      </w:r>
      <w:r>
        <w:t xml:space="preserve">- Developer Portal: https://digilocker.gov.in/developer</w:t>
      </w:r>
      <w:r>
        <w:t xml:space="preserve"> </w:t>
      </w:r>
      <w:r>
        <w:t xml:space="preserve">- APIs &amp; Documentation: https://developer.digilocker.gov.in</w:t>
      </w:r>
      <w:r>
        <w:t xml:space="preserve"> </w:t>
      </w:r>
      <w:r>
        <w:t xml:space="preserve">- Issuer/Requester Onboarding: https://digilocker.gov.in/issuers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pan-verification-integration"/>
    <w:p>
      <w:pPr>
        <w:pStyle w:val="Heading2"/>
      </w:pPr>
      <w:r>
        <w:rPr>
          <w:b/>
          <w:bCs/>
        </w:rPr>
        <w:t xml:space="preserve">3.2 PAN Verification Integration</w:t>
      </w:r>
    </w:p>
    <w:bookmarkStart w:id="29" w:name="a.-nsdl-protean-pan-verification-service"/>
    <w:p>
      <w:pPr>
        <w:pStyle w:val="Heading3"/>
      </w:pPr>
      <w:r>
        <w:rPr>
          <w:b/>
          <w:bCs/>
        </w:rPr>
        <w:t xml:space="preserve">A. NSDL (Protean) PAN Verification Service</w:t>
      </w:r>
    </w:p>
    <w:p>
      <w:pPr>
        <w:pStyle w:val="Compact"/>
        <w:numPr>
          <w:ilvl w:val="0"/>
          <w:numId w:val="1006"/>
        </w:numPr>
      </w:pPr>
      <w:r>
        <w:t xml:space="preserve">Must register as an authorised entity.</w:t>
      </w:r>
    </w:p>
    <w:p>
      <w:pPr>
        <w:pStyle w:val="Compact"/>
        <w:numPr>
          <w:ilvl w:val="0"/>
          <w:numId w:val="1006"/>
        </w:numPr>
      </w:pPr>
      <w:r>
        <w:t xml:space="preserve">Used for financial institutions and enterprise verification.</w:t>
      </w:r>
    </w:p>
    <w:p>
      <w:pPr>
        <w:pStyle w:val="FirstParagraph"/>
      </w:pPr>
      <w:r>
        <w:rPr>
          <w:b/>
          <w:bCs/>
        </w:rPr>
        <w:t xml:space="preserve">Official NSDL Links:</w:t>
      </w:r>
      <w:r>
        <w:t xml:space="preserve"> </w:t>
      </w:r>
      <w:r>
        <w:t xml:space="preserve">- PAN Verification Service: https://www.protean-tinpan.com/services/pan-verification</w:t>
      </w:r>
      <w:r>
        <w:t xml:space="preserve"> </w:t>
      </w:r>
      <w:r>
        <w:t xml:space="preserve">- Registration: https://www.protean-tinpan.com/services/pan-verification/online-registration</w:t>
      </w:r>
      <w:r>
        <w:t xml:space="preserve"> </w:t>
      </w:r>
      <w:r>
        <w:t xml:space="preserve">- Developer/API documentation: Provided after registration.</w:t>
      </w:r>
    </w:p>
    <w:bookmarkEnd w:id="29"/>
    <w:bookmarkStart w:id="30" w:name="b.-aggregator-simpler-option"/>
    <w:p>
      <w:pPr>
        <w:pStyle w:val="Heading3"/>
      </w:pPr>
      <w:r>
        <w:rPr>
          <w:b/>
          <w:bCs/>
        </w:rPr>
        <w:t xml:space="preserve">B. Aggregator (Simpler Option)</w:t>
      </w:r>
    </w:p>
    <w:p>
      <w:pPr>
        <w:pStyle w:val="FirstParagraph"/>
      </w:pPr>
      <w:r>
        <w:t xml:space="preserve">Integrators like</w:t>
      </w:r>
      <w:r>
        <w:t xml:space="preserve"> </w:t>
      </w:r>
      <w:r>
        <w:rPr>
          <w:b/>
          <w:bCs/>
        </w:rPr>
        <w:t xml:space="preserve">Setu</w:t>
      </w:r>
      <w:r>
        <w:t xml:space="preserve"> </w:t>
      </w:r>
      <w:r>
        <w:t xml:space="preserve">provide PAN verification APIs without direct NSDL onboarding.</w:t>
      </w:r>
    </w:p>
    <w:p>
      <w:pPr>
        <w:pStyle w:val="BodyText"/>
      </w:pPr>
      <w:r>
        <w:rPr>
          <w:b/>
          <w:bCs/>
        </w:rPr>
        <w:t xml:space="preserve">Setu PAN Verification:</w:t>
      </w:r>
      <w:r>
        <w:t xml:space="preserve"> </w:t>
      </w:r>
      <w:r>
        <w:t xml:space="preserve">- https://setu.co/pan-verification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uidai-consent-storage-rules"/>
    <w:p>
      <w:pPr>
        <w:pStyle w:val="Heading2"/>
      </w:pPr>
      <w:r>
        <w:rPr>
          <w:b/>
          <w:bCs/>
        </w:rPr>
        <w:t xml:space="preserve">3.3 UIDAI Consent &amp; Storage Rules</w:t>
      </w:r>
    </w:p>
    <w:p>
      <w:pPr>
        <w:pStyle w:val="FirstParagraph"/>
      </w:pPr>
      <w:r>
        <w:t xml:space="preserve">You must follow:</w:t>
      </w:r>
      <w:r>
        <w:t xml:space="preserve"> </w:t>
      </w:r>
      <w:r>
        <w:t xml:space="preserve">- Aadhaar Notice &amp; Consent guidelines.</w:t>
      </w:r>
      <w:r>
        <w:t xml:space="preserve"> </w:t>
      </w:r>
      <w:r>
        <w:t xml:space="preserve">- Don’t store Aadhaar numbers unless using Aadhaar Data Vault.</w:t>
      </w:r>
      <w:r>
        <w:t xml:space="preserve"> </w:t>
      </w:r>
      <w:r>
        <w:t xml:space="preserve">- Prefer VID (Virtual ID).</w:t>
      </w:r>
      <w:r>
        <w:t xml:space="preserve"> </w:t>
      </w:r>
      <w:r>
        <w:t xml:space="preserve">- Maintain audit logs.</w:t>
      </w:r>
    </w:p>
    <w:p>
      <w:pPr>
        <w:pStyle w:val="BodyText"/>
      </w:pPr>
      <w:r>
        <w:rPr>
          <w:b/>
          <w:bCs/>
        </w:rPr>
        <w:t xml:space="preserve">Official UIDAI Guidelines:</w:t>
      </w:r>
      <w:r>
        <w:t xml:space="preserve"> </w:t>
      </w:r>
      <w:r>
        <w:t xml:space="preserve">- Aadhaar Dos and Don’ts (PDF): https://uidai.gov.in/images/uidai-aadhaar-dos-donts.pdf</w:t>
      </w:r>
      <w:r>
        <w:t xml:space="preserve"> </w:t>
      </w:r>
      <w:r>
        <w:t xml:space="preserve">- Notice &amp; Consent Guidelines: https://uidai.gov.in/en/my-aadhaar/notice-and-consent-guidelines.html</w:t>
      </w:r>
      <w:r>
        <w:t xml:space="preserve"> </w:t>
      </w:r>
      <w:r>
        <w:t xml:space="preserve">- Virtual ID info: https://uidai.gov.in/en/my-aadhaar/vid-generation.html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ystem-phases"/>
    <w:p>
      <w:pPr>
        <w:pStyle w:val="Heading1"/>
      </w:pPr>
      <w:r>
        <w:rPr>
          <w:b/>
          <w:bCs/>
        </w:rPr>
        <w:t xml:space="preserve">4. SYSTEM PHASES</w:t>
      </w:r>
    </w:p>
    <w:bookmarkEnd w:id="34"/>
    <w:bookmarkStart w:id="35" w:name="phase-1-compliance-infrastructure-setup"/>
    <w:p>
      <w:pPr>
        <w:pStyle w:val="Heading1"/>
      </w:pPr>
      <w:r>
        <w:rPr>
          <w:b/>
          <w:bCs/>
        </w:rPr>
        <w:t xml:space="preserve">PHASE 1 — Compliance &amp; Infrastructure Setup</w:t>
      </w:r>
    </w:p>
    <w:p>
      <w:pPr>
        <w:pStyle w:val="Compact"/>
        <w:numPr>
          <w:ilvl w:val="0"/>
          <w:numId w:val="1007"/>
        </w:numPr>
      </w:pPr>
      <w:r>
        <w:t xml:space="preserve">Register with UIDAI/Protean/DigiLocker (if applicable).</w:t>
      </w:r>
    </w:p>
    <w:p>
      <w:pPr>
        <w:pStyle w:val="Compact"/>
        <w:numPr>
          <w:ilvl w:val="0"/>
          <w:numId w:val="1007"/>
        </w:numPr>
      </w:pPr>
      <w:r>
        <w:t xml:space="preserve">Procure Digital Signature Certificates (if PAN API requires).</w:t>
      </w:r>
    </w:p>
    <w:p>
      <w:pPr>
        <w:pStyle w:val="Compact"/>
        <w:numPr>
          <w:ilvl w:val="0"/>
          <w:numId w:val="1007"/>
        </w:numPr>
      </w:pPr>
      <w:r>
        <w:t xml:space="preserve">Configure server security: TLS 1.2+, WAF, secrets manager.</w:t>
      </w:r>
    </w:p>
    <w:p>
      <w:pPr>
        <w:pStyle w:val="Compact"/>
        <w:numPr>
          <w:ilvl w:val="0"/>
          <w:numId w:val="1007"/>
        </w:numPr>
      </w:pPr>
      <w:r>
        <w:t xml:space="preserve">Create Aadhaar consent UI.</w:t>
      </w:r>
    </w:p>
    <w:p>
      <w:pPr>
        <w:pStyle w:val="FirstParagraph"/>
      </w:pPr>
      <w:r>
        <w:t xml:space="preserve">Deliverables:</w:t>
      </w:r>
      <w:r>
        <w:t xml:space="preserve"> </w:t>
      </w:r>
      <w:r>
        <w:t xml:space="preserve">- Compliance checklist.</w:t>
      </w:r>
      <w:r>
        <w:t xml:space="preserve"> </w:t>
      </w:r>
      <w:r>
        <w:t xml:space="preserve">- API credential storage plan.</w:t>
      </w:r>
      <w:r>
        <w:t xml:space="preserve"> </w:t>
      </w:r>
      <w:r>
        <w:t xml:space="preserve">- Consent modal drafts.</w:t>
      </w:r>
    </w:p>
    <w:p>
      <w:r>
        <w:pict>
          <v:rect style="width:0;height:1.5pt" o:hralign="center" o:hrstd="t" o:hr="t"/>
        </w:pict>
      </w:r>
    </w:p>
    <w:bookmarkEnd w:id="35"/>
    <w:bookmarkStart w:id="39" w:name="phase-2-kyc-integration-module"/>
    <w:p>
      <w:pPr>
        <w:pStyle w:val="Heading1"/>
      </w:pPr>
      <w:r>
        <w:rPr>
          <w:b/>
          <w:bCs/>
        </w:rPr>
        <w:t xml:space="preserve">PHASE 2 — KYC Integration Module</w:t>
      </w:r>
    </w:p>
    <w:bookmarkStart w:id="36" w:name="aadhaar-module"/>
    <w:p>
      <w:pPr>
        <w:pStyle w:val="Heading2"/>
      </w:pPr>
      <w:r>
        <w:rPr>
          <w:b/>
          <w:bCs/>
        </w:rPr>
        <w:t xml:space="preserve">2.1 Aadhaar Module</w:t>
      </w:r>
    </w:p>
    <w:p>
      <w:pPr>
        <w:pStyle w:val="Compact"/>
        <w:numPr>
          <w:ilvl w:val="0"/>
          <w:numId w:val="1008"/>
        </w:numPr>
      </w:pPr>
      <w:r>
        <w:t xml:space="preserve">Choose flow: Live, Offline XML, or DigiLocker.</w:t>
      </w:r>
    </w:p>
    <w:p>
      <w:pPr>
        <w:pStyle w:val="Compact"/>
        <w:numPr>
          <w:ilvl w:val="0"/>
          <w:numId w:val="1008"/>
        </w:numPr>
      </w:pPr>
      <w:r>
        <w:t xml:space="preserve">Build KYC microservice.</w:t>
      </w:r>
    </w:p>
    <w:p>
      <w:pPr>
        <w:pStyle w:val="Compact"/>
        <w:numPr>
          <w:ilvl w:val="0"/>
          <w:numId w:val="1008"/>
        </w:numPr>
      </w:pPr>
      <w:r>
        <w:t xml:space="preserve">Store only tokenized IDs.</w:t>
      </w:r>
    </w:p>
    <w:p>
      <w:pPr>
        <w:pStyle w:val="Compact"/>
        <w:numPr>
          <w:ilvl w:val="0"/>
          <w:numId w:val="1008"/>
        </w:numPr>
      </w:pPr>
      <w:r>
        <w:t xml:space="preserve">Log user consent.</w:t>
      </w:r>
    </w:p>
    <w:bookmarkEnd w:id="36"/>
    <w:bookmarkStart w:id="37" w:name="pan-verification-module"/>
    <w:p>
      <w:pPr>
        <w:pStyle w:val="Heading2"/>
      </w:pPr>
      <w:r>
        <w:rPr>
          <w:b/>
          <w:bCs/>
        </w:rPr>
        <w:t xml:space="preserve">2.2 PAN Verification Module</w:t>
      </w:r>
    </w:p>
    <w:p>
      <w:pPr>
        <w:pStyle w:val="Compact"/>
        <w:numPr>
          <w:ilvl w:val="0"/>
          <w:numId w:val="1009"/>
        </w:numPr>
      </w:pPr>
      <w:r>
        <w:t xml:space="preserve">Integration with Protean/Setu.</w:t>
      </w:r>
    </w:p>
    <w:p>
      <w:pPr>
        <w:pStyle w:val="Compact"/>
        <w:numPr>
          <w:ilvl w:val="0"/>
          <w:numId w:val="1009"/>
        </w:numPr>
      </w:pPr>
      <w:r>
        <w:t xml:space="preserve">API request signing if using NSDL.</w:t>
      </w:r>
    </w:p>
    <w:bookmarkEnd w:id="37"/>
    <w:bookmarkStart w:id="38" w:name="client-update-flow"/>
    <w:p>
      <w:pPr>
        <w:pStyle w:val="Heading2"/>
      </w:pPr>
      <w:r>
        <w:rPr>
          <w:b/>
          <w:bCs/>
        </w:rPr>
        <w:t xml:space="preserve">2.3 Client Update Flow</w:t>
      </w:r>
    </w:p>
    <w:p>
      <w:pPr>
        <w:pStyle w:val="Compact"/>
        <w:numPr>
          <w:ilvl w:val="0"/>
          <w:numId w:val="1010"/>
        </w:numPr>
      </w:pPr>
      <w:r>
        <w:t xml:space="preserve">Client updates details → triggers KYC flow → updates stored profile.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700936b5dc676343b4cba0db0655b53e580209b"/>
    <w:p>
      <w:pPr>
        <w:pStyle w:val="Heading1"/>
      </w:pPr>
      <w:r>
        <w:rPr>
          <w:b/>
          <w:bCs/>
        </w:rPr>
        <w:t xml:space="preserve">PHASE 3 — Policy Catalogue &amp; Comparison Module</w:t>
      </w:r>
    </w:p>
    <w:bookmarkStart w:id="40" w:name="catalogue-structure"/>
    <w:p>
      <w:pPr>
        <w:pStyle w:val="Heading2"/>
      </w:pPr>
      <w:r>
        <w:rPr>
          <w:b/>
          <w:bCs/>
        </w:rPr>
        <w:t xml:space="preserve">3.1 Catalogue Structure</w:t>
      </w:r>
    </w:p>
    <w:p>
      <w:pPr>
        <w:pStyle w:val="Compact"/>
        <w:numPr>
          <w:ilvl w:val="0"/>
          <w:numId w:val="1011"/>
        </w:numPr>
      </w:pPr>
      <w:r>
        <w:t xml:space="preserve">Companies</w:t>
      </w:r>
    </w:p>
    <w:p>
      <w:pPr>
        <w:pStyle w:val="Compact"/>
        <w:numPr>
          <w:ilvl w:val="0"/>
          <w:numId w:val="1011"/>
        </w:numPr>
      </w:pPr>
      <w:r>
        <w:t xml:space="preserve">Policies</w:t>
      </w:r>
    </w:p>
    <w:p>
      <w:pPr>
        <w:pStyle w:val="Compact"/>
        <w:numPr>
          <w:ilvl w:val="0"/>
          <w:numId w:val="1011"/>
        </w:numPr>
      </w:pPr>
      <w:r>
        <w:t xml:space="preserve">Benefits &amp; Exclusions</w:t>
      </w:r>
    </w:p>
    <w:p>
      <w:pPr>
        <w:pStyle w:val="Compact"/>
        <w:numPr>
          <w:ilvl w:val="0"/>
          <w:numId w:val="1011"/>
        </w:numPr>
      </w:pPr>
      <w:r>
        <w:t xml:space="preserve">Riders</w:t>
      </w:r>
    </w:p>
    <w:p>
      <w:pPr>
        <w:pStyle w:val="Compact"/>
        <w:numPr>
          <w:ilvl w:val="0"/>
          <w:numId w:val="1011"/>
        </w:numPr>
      </w:pPr>
      <w:r>
        <w:t xml:space="preserve">Premium charts</w:t>
      </w:r>
    </w:p>
    <w:bookmarkEnd w:id="40"/>
    <w:bookmarkStart w:id="41" w:name="admin-panel-features"/>
    <w:p>
      <w:pPr>
        <w:pStyle w:val="Heading2"/>
      </w:pPr>
      <w:r>
        <w:rPr>
          <w:b/>
          <w:bCs/>
        </w:rPr>
        <w:t xml:space="preserve">3.2 Admin Panel Features</w:t>
      </w:r>
    </w:p>
    <w:p>
      <w:pPr>
        <w:pStyle w:val="Compact"/>
        <w:numPr>
          <w:ilvl w:val="0"/>
          <w:numId w:val="1012"/>
        </w:numPr>
      </w:pPr>
      <w:r>
        <w:t xml:space="preserve">Upload policy forms (PDFs)</w:t>
      </w:r>
    </w:p>
    <w:p>
      <w:pPr>
        <w:pStyle w:val="Compact"/>
        <w:numPr>
          <w:ilvl w:val="0"/>
          <w:numId w:val="1012"/>
        </w:numPr>
      </w:pPr>
      <w:r>
        <w:t xml:space="preserve">Create one-page policy summaries</w:t>
      </w:r>
    </w:p>
    <w:p>
      <w:pPr>
        <w:pStyle w:val="Compact"/>
        <w:numPr>
          <w:ilvl w:val="0"/>
          <w:numId w:val="1012"/>
        </w:numPr>
      </w:pPr>
      <w:r>
        <w:t xml:space="preserve">Edit/update features</w:t>
      </w:r>
    </w:p>
    <w:bookmarkEnd w:id="41"/>
    <w:bookmarkStart w:id="42" w:name="comparison-engine"/>
    <w:p>
      <w:pPr>
        <w:pStyle w:val="Heading2"/>
      </w:pPr>
      <w:r>
        <w:rPr>
          <w:b/>
          <w:bCs/>
        </w:rPr>
        <w:t xml:space="preserve">3.3 Comparison Engine</w:t>
      </w:r>
    </w:p>
    <w:p>
      <w:pPr>
        <w:pStyle w:val="Compact"/>
        <w:numPr>
          <w:ilvl w:val="0"/>
          <w:numId w:val="1013"/>
        </w:numPr>
      </w:pPr>
      <w:r>
        <w:t xml:space="preserve">Multi-policy comparison</w:t>
      </w:r>
    </w:p>
    <w:p>
      <w:pPr>
        <w:pStyle w:val="Compact"/>
        <w:numPr>
          <w:ilvl w:val="0"/>
          <w:numId w:val="1013"/>
        </w:numPr>
      </w:pPr>
      <w:r>
        <w:t xml:space="preserve">Pros/cons evaluation</w:t>
      </w:r>
    </w:p>
    <w:p>
      <w:pPr>
        <w:pStyle w:val="Compact"/>
        <w:numPr>
          <w:ilvl w:val="0"/>
          <w:numId w:val="1013"/>
        </w:numPr>
      </w:pPr>
      <w:r>
        <w:t xml:space="preserve">Export comparison report (PDF)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phase-4-client-portal"/>
    <w:p>
      <w:pPr>
        <w:pStyle w:val="Heading1"/>
      </w:pPr>
      <w:r>
        <w:rPr>
          <w:b/>
          <w:bCs/>
        </w:rPr>
        <w:t xml:space="preserve">PHASE 4 — Client Portal</w:t>
      </w:r>
    </w:p>
    <w:bookmarkStart w:id="44" w:name="client-dashboard"/>
    <w:p>
      <w:pPr>
        <w:pStyle w:val="Heading2"/>
      </w:pPr>
      <w:r>
        <w:rPr>
          <w:b/>
          <w:bCs/>
        </w:rPr>
        <w:t xml:space="preserve">4.1 Client Dashboard</w:t>
      </w:r>
    </w:p>
    <w:p>
      <w:pPr>
        <w:pStyle w:val="Compact"/>
        <w:numPr>
          <w:ilvl w:val="0"/>
          <w:numId w:val="1014"/>
        </w:numPr>
      </w:pPr>
      <w:r>
        <w:t xml:space="preserve">Active policies</w:t>
      </w:r>
    </w:p>
    <w:p>
      <w:pPr>
        <w:pStyle w:val="Compact"/>
        <w:numPr>
          <w:ilvl w:val="0"/>
          <w:numId w:val="1014"/>
        </w:numPr>
      </w:pPr>
      <w:r>
        <w:t xml:space="preserve">Renewal dates</w:t>
      </w:r>
    </w:p>
    <w:p>
      <w:pPr>
        <w:pStyle w:val="Compact"/>
        <w:numPr>
          <w:ilvl w:val="0"/>
          <w:numId w:val="1014"/>
        </w:numPr>
      </w:pPr>
      <w:r>
        <w:t xml:space="preserve">Claims status</w:t>
      </w:r>
    </w:p>
    <w:p>
      <w:pPr>
        <w:pStyle w:val="Compact"/>
        <w:numPr>
          <w:ilvl w:val="0"/>
          <w:numId w:val="1014"/>
        </w:numPr>
      </w:pPr>
      <w:r>
        <w:t xml:space="preserve">Download documents</w:t>
      </w:r>
    </w:p>
    <w:bookmarkEnd w:id="44"/>
    <w:bookmarkStart w:id="45" w:name="renewal-notifications"/>
    <w:p>
      <w:pPr>
        <w:pStyle w:val="Heading2"/>
      </w:pPr>
      <w:r>
        <w:rPr>
          <w:b/>
          <w:bCs/>
        </w:rPr>
        <w:t xml:space="preserve">4.2 Renewal Notifications</w:t>
      </w:r>
    </w:p>
    <w:p>
      <w:pPr>
        <w:pStyle w:val="Compact"/>
        <w:numPr>
          <w:ilvl w:val="0"/>
          <w:numId w:val="1015"/>
        </w:numPr>
      </w:pPr>
      <w:r>
        <w:t xml:space="preserve">30/15/7 day reminders</w:t>
      </w:r>
    </w:p>
    <w:p>
      <w:pPr>
        <w:pStyle w:val="Compact"/>
        <w:numPr>
          <w:ilvl w:val="0"/>
          <w:numId w:val="1015"/>
        </w:numPr>
      </w:pPr>
      <w:r>
        <w:t xml:space="preserve">WhatsApp, SMS, Email</w:t>
      </w:r>
    </w:p>
    <w:bookmarkEnd w:id="45"/>
    <w:bookmarkStart w:id="46" w:name="document-uploads"/>
    <w:p>
      <w:pPr>
        <w:pStyle w:val="Heading2"/>
      </w:pPr>
      <w:r>
        <w:rPr>
          <w:b/>
          <w:bCs/>
        </w:rPr>
        <w:t xml:space="preserve">4.3 Document Uploads</w:t>
      </w:r>
    </w:p>
    <w:p>
      <w:pPr>
        <w:pStyle w:val="Compact"/>
        <w:numPr>
          <w:ilvl w:val="0"/>
          <w:numId w:val="1016"/>
        </w:numPr>
      </w:pPr>
      <w:r>
        <w:t xml:space="preserve">Upload ID proofs with verification</w:t>
      </w:r>
    </w:p>
    <w:p>
      <w:pPr>
        <w:pStyle w:val="Compact"/>
        <w:numPr>
          <w:ilvl w:val="0"/>
          <w:numId w:val="1016"/>
        </w:numPr>
      </w:pPr>
      <w:r>
        <w:t xml:space="preserve">Upload medical or policy documents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phase-5-premium-calculator-age-scanning"/>
    <w:p>
      <w:pPr>
        <w:pStyle w:val="Heading1"/>
      </w:pPr>
      <w:r>
        <w:rPr>
          <w:b/>
          <w:bCs/>
        </w:rPr>
        <w:t xml:space="preserve">PHASE 5 — Premium Calculator &amp; Age Scanning</w:t>
      </w:r>
    </w:p>
    <w:bookmarkStart w:id="48" w:name="data-input"/>
    <w:p>
      <w:pPr>
        <w:pStyle w:val="Heading2"/>
      </w:pPr>
      <w:r>
        <w:rPr>
          <w:b/>
          <w:bCs/>
        </w:rPr>
        <w:t xml:space="preserve">5.1 Data Input</w:t>
      </w:r>
    </w:p>
    <w:p>
      <w:pPr>
        <w:pStyle w:val="Compact"/>
        <w:numPr>
          <w:ilvl w:val="0"/>
          <w:numId w:val="1017"/>
        </w:numPr>
      </w:pPr>
      <w:r>
        <w:t xml:space="preserve">Age</w:t>
      </w:r>
    </w:p>
    <w:p>
      <w:pPr>
        <w:pStyle w:val="Compact"/>
        <w:numPr>
          <w:ilvl w:val="0"/>
          <w:numId w:val="1017"/>
        </w:numPr>
      </w:pPr>
      <w:r>
        <w:t xml:space="preserve">Gender (if needed)</w:t>
      </w:r>
    </w:p>
    <w:p>
      <w:pPr>
        <w:pStyle w:val="Compact"/>
        <w:numPr>
          <w:ilvl w:val="0"/>
          <w:numId w:val="1017"/>
        </w:numPr>
      </w:pPr>
      <w:r>
        <w:t xml:space="preserve">Sum insured</w:t>
      </w:r>
    </w:p>
    <w:bookmarkEnd w:id="48"/>
    <w:bookmarkStart w:id="49" w:name="calculator-output"/>
    <w:p>
      <w:pPr>
        <w:pStyle w:val="Heading2"/>
      </w:pPr>
      <w:r>
        <w:rPr>
          <w:b/>
          <w:bCs/>
        </w:rPr>
        <w:t xml:space="preserve">5.2 Calculator Output</w:t>
      </w:r>
    </w:p>
    <w:p>
      <w:pPr>
        <w:pStyle w:val="Compact"/>
        <w:numPr>
          <w:ilvl w:val="0"/>
          <w:numId w:val="1018"/>
        </w:numPr>
      </w:pPr>
      <w:r>
        <w:t xml:space="preserve">List of eligible policies</w:t>
      </w:r>
    </w:p>
    <w:p>
      <w:pPr>
        <w:pStyle w:val="Compact"/>
        <w:numPr>
          <w:ilvl w:val="0"/>
          <w:numId w:val="1018"/>
        </w:numPr>
      </w:pPr>
      <w:r>
        <w:t xml:space="preserve">Premium amounts</w:t>
      </w:r>
    </w:p>
    <w:p>
      <w:pPr>
        <w:pStyle w:val="Compact"/>
        <w:numPr>
          <w:ilvl w:val="0"/>
          <w:numId w:val="1018"/>
        </w:numPr>
      </w:pPr>
      <w:r>
        <w:t xml:space="preserve">Eligibility conditions</w:t>
      </w:r>
    </w:p>
    <w:bookmarkEnd w:id="49"/>
    <w:bookmarkStart w:id="50" w:name="admin-tools"/>
    <w:p>
      <w:pPr>
        <w:pStyle w:val="Heading2"/>
      </w:pPr>
      <w:r>
        <w:rPr>
          <w:b/>
          <w:bCs/>
        </w:rPr>
        <w:t xml:space="preserve">5.3 Admin Tools</w:t>
      </w:r>
    </w:p>
    <w:p>
      <w:pPr>
        <w:pStyle w:val="Compact"/>
        <w:numPr>
          <w:ilvl w:val="0"/>
          <w:numId w:val="1019"/>
        </w:numPr>
      </w:pPr>
      <w:r>
        <w:t xml:space="preserve">Upload premium charts via CSV/XLS</w:t>
      </w:r>
    </w:p>
    <w:p>
      <w:pPr>
        <w:pStyle w:val="Compact"/>
        <w:numPr>
          <w:ilvl w:val="0"/>
          <w:numId w:val="1019"/>
        </w:numPr>
      </w:pPr>
      <w:r>
        <w:t xml:space="preserve">Validate &amp; version them</w:t>
      </w:r>
    </w:p>
    <w:p>
      <w:pPr>
        <w:pStyle w:val="FirstParagraph"/>
      </w:pPr>
      <w:r>
        <w:t xml:space="preserve">Example Premium CSV Structure:</w:t>
      </w:r>
      <w:r>
        <w:t xml:space="preserve"> </w:t>
      </w:r>
      <w:r>
        <w:t xml:space="preserve">- Company</w:t>
      </w:r>
      <w:r>
        <w:t xml:space="preserve"> </w:t>
      </w:r>
      <w:r>
        <w:t xml:space="preserve">- Policy Name</w:t>
      </w:r>
      <w:r>
        <w:t xml:space="preserve"> </w:t>
      </w:r>
      <w:r>
        <w:t xml:space="preserve">- Age From</w:t>
      </w:r>
      <w:r>
        <w:t xml:space="preserve"> </w:t>
      </w:r>
      <w:r>
        <w:t xml:space="preserve">- Age To</w:t>
      </w:r>
      <w:r>
        <w:t xml:space="preserve"> </w:t>
      </w:r>
      <w:r>
        <w:t xml:space="preserve">- Premium Amount</w:t>
      </w:r>
      <w:r>
        <w:t xml:space="preserve"> </w:t>
      </w:r>
      <w:r>
        <w:t xml:space="preserve">- Sum Insured</w:t>
      </w:r>
      <w:r>
        <w:t xml:space="preserve"> </w:t>
      </w:r>
      <w:r>
        <w:t xml:space="preserve">- Remarks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phase-6-presentation-generator"/>
    <w:p>
      <w:pPr>
        <w:pStyle w:val="Heading1"/>
      </w:pPr>
      <w:r>
        <w:rPr>
          <w:b/>
          <w:bCs/>
        </w:rPr>
        <w:t xml:space="preserve">PHASE 6 — Presentation Generator</w:t>
      </w:r>
    </w:p>
    <w:bookmarkStart w:id="52" w:name="flow"/>
    <w:p>
      <w:pPr>
        <w:pStyle w:val="Heading2"/>
      </w:pPr>
      <w:r>
        <w:rPr>
          <w:b/>
          <w:bCs/>
        </w:rPr>
        <w:t xml:space="preserve">6.1 Flow</w:t>
      </w:r>
    </w:p>
    <w:p>
      <w:pPr>
        <w:pStyle w:val="Compact"/>
        <w:numPr>
          <w:ilvl w:val="0"/>
          <w:numId w:val="1020"/>
        </w:numPr>
      </w:pPr>
      <w:r>
        <w:t xml:space="preserve">Agent enters client name + age.</w:t>
      </w:r>
    </w:p>
    <w:p>
      <w:pPr>
        <w:pStyle w:val="Compact"/>
        <w:numPr>
          <w:ilvl w:val="0"/>
          <w:numId w:val="1020"/>
        </w:numPr>
      </w:pPr>
      <w:r>
        <w:t xml:space="preserve">System suggests eligible policies.</w:t>
      </w:r>
    </w:p>
    <w:p>
      <w:pPr>
        <w:pStyle w:val="Compact"/>
        <w:numPr>
          <w:ilvl w:val="0"/>
          <w:numId w:val="1020"/>
        </w:numPr>
      </w:pPr>
      <w:r>
        <w:t xml:space="preserve">Agent selects policy.</w:t>
      </w:r>
    </w:p>
    <w:p>
      <w:pPr>
        <w:pStyle w:val="Compact"/>
        <w:numPr>
          <w:ilvl w:val="0"/>
          <w:numId w:val="1020"/>
        </w:numPr>
      </w:pPr>
      <w:r>
        <w:t xml:space="preserve">Generates PPTX/PDF presentation with:</w:t>
      </w:r>
    </w:p>
    <w:p>
      <w:pPr>
        <w:pStyle w:val="Compact"/>
        <w:numPr>
          <w:ilvl w:val="1"/>
          <w:numId w:val="1021"/>
        </w:numPr>
      </w:pPr>
      <w:r>
        <w:t xml:space="preserve">Cover slide</w:t>
      </w:r>
    </w:p>
    <w:p>
      <w:pPr>
        <w:pStyle w:val="Compact"/>
        <w:numPr>
          <w:ilvl w:val="1"/>
          <w:numId w:val="1021"/>
        </w:numPr>
      </w:pPr>
      <w:r>
        <w:t xml:space="preserve">Policy details</w:t>
      </w:r>
    </w:p>
    <w:p>
      <w:pPr>
        <w:pStyle w:val="Compact"/>
        <w:numPr>
          <w:ilvl w:val="1"/>
          <w:numId w:val="1021"/>
        </w:numPr>
      </w:pPr>
      <w:r>
        <w:t xml:space="preserve">Premium chart (age specific)</w:t>
      </w:r>
    </w:p>
    <w:p>
      <w:pPr>
        <w:pStyle w:val="Compact"/>
        <w:numPr>
          <w:ilvl w:val="1"/>
          <w:numId w:val="1021"/>
        </w:numPr>
      </w:pPr>
      <w:r>
        <w:t xml:space="preserve">Comparison slide (optional)</w:t>
      </w:r>
    </w:p>
    <w:p>
      <w:pPr>
        <w:pStyle w:val="Compact"/>
        <w:numPr>
          <w:ilvl w:val="1"/>
          <w:numId w:val="1021"/>
        </w:numPr>
      </w:pPr>
      <w:r>
        <w:t xml:space="preserve">Summary slide</w:t>
      </w:r>
    </w:p>
    <w:bookmarkEnd w:id="52"/>
    <w:bookmarkStart w:id="53" w:name="tools"/>
    <w:p>
      <w:pPr>
        <w:pStyle w:val="Heading2"/>
      </w:pPr>
      <w:r>
        <w:rPr>
          <w:b/>
          <w:bCs/>
        </w:rPr>
        <w:t xml:space="preserve">6.2 Tools</w:t>
      </w:r>
    </w:p>
    <w:p>
      <w:pPr>
        <w:pStyle w:val="Compact"/>
        <w:numPr>
          <w:ilvl w:val="0"/>
          <w:numId w:val="1022"/>
        </w:numPr>
      </w:pPr>
      <w:r>
        <w:t xml:space="preserve">Use Python-PPTX or Node PPTX libraries.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phase-7-agent-dashboard"/>
    <w:p>
      <w:pPr>
        <w:pStyle w:val="Heading1"/>
      </w:pPr>
      <w:r>
        <w:rPr>
          <w:b/>
          <w:bCs/>
        </w:rPr>
        <w:t xml:space="preserve">PHASE 7 — Agent Dashboard</w:t>
      </w:r>
    </w:p>
    <w:bookmarkStart w:id="55" w:name="features"/>
    <w:p>
      <w:pPr>
        <w:pStyle w:val="Heading2"/>
      </w:pPr>
      <w:r>
        <w:rPr>
          <w:b/>
          <w:bCs/>
        </w:rPr>
        <w:t xml:space="preserve">7.1 Features</w:t>
      </w:r>
    </w:p>
    <w:p>
      <w:pPr>
        <w:pStyle w:val="Compact"/>
        <w:numPr>
          <w:ilvl w:val="0"/>
          <w:numId w:val="1023"/>
        </w:numPr>
      </w:pPr>
      <w:r>
        <w:t xml:space="preserve">Combined overview of all policies.</w:t>
      </w:r>
    </w:p>
    <w:p>
      <w:pPr>
        <w:pStyle w:val="Compact"/>
        <w:numPr>
          <w:ilvl w:val="0"/>
          <w:numId w:val="1023"/>
        </w:numPr>
      </w:pPr>
      <w:r>
        <w:t xml:space="preserve">Renewals list.</w:t>
      </w:r>
    </w:p>
    <w:p>
      <w:pPr>
        <w:pStyle w:val="Compact"/>
        <w:numPr>
          <w:ilvl w:val="0"/>
          <w:numId w:val="1023"/>
        </w:numPr>
      </w:pPr>
      <w:r>
        <w:t xml:space="preserve">Claims queue.</w:t>
      </w:r>
    </w:p>
    <w:p>
      <w:pPr>
        <w:pStyle w:val="Compact"/>
        <w:numPr>
          <w:ilvl w:val="0"/>
          <w:numId w:val="1023"/>
        </w:numPr>
      </w:pPr>
      <w:r>
        <w:t xml:space="preserve">Health check reminders.</w:t>
      </w:r>
    </w:p>
    <w:p>
      <w:pPr>
        <w:pStyle w:val="Compact"/>
        <w:numPr>
          <w:ilvl w:val="0"/>
          <w:numId w:val="1023"/>
        </w:numPr>
      </w:pPr>
      <w:r>
        <w:t xml:space="preserve">Auto-login to insurer portals (if API/SSO supported).</w:t>
      </w:r>
    </w:p>
    <w:bookmarkEnd w:id="55"/>
    <w:bookmarkStart w:id="56" w:name="sub-portals"/>
    <w:p>
      <w:pPr>
        <w:pStyle w:val="Heading2"/>
      </w:pPr>
      <w:r>
        <w:rPr>
          <w:b/>
          <w:bCs/>
        </w:rPr>
        <w:t xml:space="preserve">7.2 Sub-portals</w:t>
      </w:r>
    </w:p>
    <w:p>
      <w:pPr>
        <w:pStyle w:val="Compact"/>
        <w:numPr>
          <w:ilvl w:val="0"/>
          <w:numId w:val="1024"/>
        </w:numPr>
      </w:pPr>
      <w:r>
        <w:t xml:space="preserve">For each insurance company you are an agent for, link respective portal.</w:t>
      </w:r>
    </w:p>
    <w:p>
      <w:pPr>
        <w:pStyle w:val="Compact"/>
        <w:numPr>
          <w:ilvl w:val="0"/>
          <w:numId w:val="1024"/>
        </w:numPr>
      </w:pPr>
      <w:r>
        <w:t xml:space="preserve">Token-based login if supported.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database-structures-summary"/>
    <w:p>
      <w:pPr>
        <w:pStyle w:val="Heading1"/>
      </w:pPr>
      <w:r>
        <w:rPr>
          <w:b/>
          <w:bCs/>
        </w:rPr>
        <w:t xml:space="preserve">8. DATABASE STRUCTURES (SUMMARY)</w:t>
      </w:r>
    </w:p>
    <w:bookmarkStart w:id="58" w:name="tables"/>
    <w:p>
      <w:pPr>
        <w:pStyle w:val="Heading2"/>
      </w:pPr>
      <w:r>
        <w:rPr>
          <w:b/>
          <w:bCs/>
        </w:rPr>
        <w:t xml:space="preserve">Tables</w:t>
      </w:r>
    </w:p>
    <w:p>
      <w:pPr>
        <w:pStyle w:val="Compact"/>
        <w:numPr>
          <w:ilvl w:val="0"/>
          <w:numId w:val="1025"/>
        </w:numPr>
      </w:pPr>
      <w:r>
        <w:t xml:space="preserve">Users</w:t>
      </w:r>
    </w:p>
    <w:p>
      <w:pPr>
        <w:pStyle w:val="Compact"/>
        <w:numPr>
          <w:ilvl w:val="0"/>
          <w:numId w:val="1025"/>
        </w:numPr>
      </w:pPr>
      <w:r>
        <w:t xml:space="preserve">Clients</w:t>
      </w:r>
    </w:p>
    <w:p>
      <w:pPr>
        <w:pStyle w:val="Compact"/>
        <w:numPr>
          <w:ilvl w:val="0"/>
          <w:numId w:val="1025"/>
        </w:numPr>
      </w:pPr>
      <w:r>
        <w:t xml:space="preserve">KYC_Records</w:t>
      </w:r>
    </w:p>
    <w:p>
      <w:pPr>
        <w:pStyle w:val="Compact"/>
        <w:numPr>
          <w:ilvl w:val="0"/>
          <w:numId w:val="1025"/>
        </w:numPr>
      </w:pPr>
      <w:r>
        <w:t xml:space="preserve">Policies</w:t>
      </w:r>
    </w:p>
    <w:p>
      <w:pPr>
        <w:pStyle w:val="Compact"/>
        <w:numPr>
          <w:ilvl w:val="0"/>
          <w:numId w:val="1025"/>
        </w:numPr>
      </w:pPr>
      <w:r>
        <w:t xml:space="preserve">PremiumCharts</w:t>
      </w:r>
    </w:p>
    <w:p>
      <w:pPr>
        <w:pStyle w:val="Compact"/>
        <w:numPr>
          <w:ilvl w:val="0"/>
          <w:numId w:val="1025"/>
        </w:numPr>
      </w:pPr>
      <w:r>
        <w:t xml:space="preserve">Claims</w:t>
      </w:r>
    </w:p>
    <w:p>
      <w:pPr>
        <w:pStyle w:val="Compact"/>
        <w:numPr>
          <w:ilvl w:val="0"/>
          <w:numId w:val="1025"/>
        </w:numPr>
      </w:pPr>
      <w:r>
        <w:t xml:space="preserve">Documents</w:t>
      </w:r>
    </w:p>
    <w:p>
      <w:pPr>
        <w:pStyle w:val="Compact"/>
        <w:numPr>
          <w:ilvl w:val="0"/>
          <w:numId w:val="1025"/>
        </w:numPr>
      </w:pPr>
      <w:r>
        <w:t xml:space="preserve">Renewals</w:t>
      </w:r>
    </w:p>
    <w:p>
      <w:pPr>
        <w:pStyle w:val="Compact"/>
        <w:numPr>
          <w:ilvl w:val="0"/>
          <w:numId w:val="1025"/>
        </w:numPr>
      </w:pPr>
      <w:r>
        <w:t xml:space="preserve">ConsentLogs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api-modules-summary"/>
    <w:p>
      <w:pPr>
        <w:pStyle w:val="Heading1"/>
      </w:pPr>
      <w:r>
        <w:rPr>
          <w:b/>
          <w:bCs/>
        </w:rPr>
        <w:t xml:space="preserve">9. API MODULES (SUMMARY)</w:t>
      </w:r>
    </w:p>
    <w:bookmarkStart w:id="60" w:name="kyc-api"/>
    <w:p>
      <w:pPr>
        <w:pStyle w:val="Heading2"/>
      </w:pPr>
      <w:r>
        <w:rPr>
          <w:b/>
          <w:bCs/>
        </w:rPr>
        <w:t xml:space="preserve">KYC API</w:t>
      </w:r>
    </w:p>
    <w:p>
      <w:pPr>
        <w:pStyle w:val="Compact"/>
        <w:numPr>
          <w:ilvl w:val="0"/>
          <w:numId w:val="1026"/>
        </w:numPr>
      </w:pPr>
      <w:r>
        <w:t xml:space="preserve">/aadhaar/offline-kyc</w:t>
      </w:r>
    </w:p>
    <w:p>
      <w:pPr>
        <w:pStyle w:val="Compact"/>
        <w:numPr>
          <w:ilvl w:val="0"/>
          <w:numId w:val="1026"/>
        </w:numPr>
      </w:pPr>
      <w:r>
        <w:t xml:space="preserve">/aadhaar/ekyc</w:t>
      </w:r>
    </w:p>
    <w:p>
      <w:pPr>
        <w:pStyle w:val="Compact"/>
        <w:numPr>
          <w:ilvl w:val="0"/>
          <w:numId w:val="1026"/>
        </w:numPr>
      </w:pPr>
      <w:r>
        <w:t xml:space="preserve">/pan/verify</w:t>
      </w:r>
    </w:p>
    <w:bookmarkEnd w:id="60"/>
    <w:bookmarkStart w:id="61" w:name="policy-api"/>
    <w:p>
      <w:pPr>
        <w:pStyle w:val="Heading2"/>
      </w:pPr>
      <w:r>
        <w:rPr>
          <w:b/>
          <w:bCs/>
        </w:rPr>
        <w:t xml:space="preserve">Policy API</w:t>
      </w:r>
    </w:p>
    <w:p>
      <w:pPr>
        <w:pStyle w:val="Compact"/>
        <w:numPr>
          <w:ilvl w:val="0"/>
          <w:numId w:val="1027"/>
        </w:numPr>
      </w:pPr>
      <w:r>
        <w:t xml:space="preserve">/policies</w:t>
      </w:r>
    </w:p>
    <w:p>
      <w:pPr>
        <w:pStyle w:val="Compact"/>
        <w:numPr>
          <w:ilvl w:val="0"/>
          <w:numId w:val="1027"/>
        </w:numPr>
      </w:pPr>
      <w:r>
        <w:t xml:space="preserve">/policies/comparison</w:t>
      </w:r>
    </w:p>
    <w:bookmarkEnd w:id="61"/>
    <w:bookmarkStart w:id="62" w:name="premium-api"/>
    <w:p>
      <w:pPr>
        <w:pStyle w:val="Heading2"/>
      </w:pPr>
      <w:r>
        <w:rPr>
          <w:b/>
          <w:bCs/>
        </w:rPr>
        <w:t xml:space="preserve">Premium API</w:t>
      </w:r>
    </w:p>
    <w:p>
      <w:pPr>
        <w:pStyle w:val="Compact"/>
        <w:numPr>
          <w:ilvl w:val="0"/>
          <w:numId w:val="1028"/>
        </w:numPr>
      </w:pPr>
      <w:r>
        <w:t xml:space="preserve">/premium/calculate</w:t>
      </w:r>
    </w:p>
    <w:p>
      <w:pPr>
        <w:pStyle w:val="Compact"/>
        <w:numPr>
          <w:ilvl w:val="0"/>
          <w:numId w:val="1028"/>
        </w:numPr>
      </w:pPr>
      <w:r>
        <w:t xml:space="preserve">/premium/upload</w:t>
      </w:r>
    </w:p>
    <w:bookmarkEnd w:id="62"/>
    <w:bookmarkStart w:id="63" w:name="presentation-api"/>
    <w:p>
      <w:pPr>
        <w:pStyle w:val="Heading2"/>
      </w:pPr>
      <w:r>
        <w:rPr>
          <w:b/>
          <w:bCs/>
        </w:rPr>
        <w:t xml:space="preserve">Presentation API</w:t>
      </w:r>
    </w:p>
    <w:p>
      <w:pPr>
        <w:pStyle w:val="Compact"/>
        <w:numPr>
          <w:ilvl w:val="0"/>
          <w:numId w:val="1029"/>
        </w:numPr>
      </w:pPr>
      <w:r>
        <w:t xml:space="preserve">/presentation/generate</w:t>
      </w:r>
    </w:p>
    <w:bookmarkEnd w:id="63"/>
    <w:bookmarkStart w:id="64" w:name="renewal-api"/>
    <w:p>
      <w:pPr>
        <w:pStyle w:val="Heading2"/>
      </w:pPr>
      <w:r>
        <w:rPr>
          <w:b/>
          <w:bCs/>
        </w:rPr>
        <w:t xml:space="preserve">Renewal API</w:t>
      </w:r>
    </w:p>
    <w:p>
      <w:pPr>
        <w:pStyle w:val="Compact"/>
        <w:numPr>
          <w:ilvl w:val="0"/>
          <w:numId w:val="1030"/>
        </w:numPr>
      </w:pPr>
      <w:r>
        <w:t xml:space="preserve">/renewal/upcoming</w:t>
      </w:r>
    </w:p>
    <w:p>
      <w:pPr>
        <w:pStyle w:val="Compact"/>
        <w:numPr>
          <w:ilvl w:val="0"/>
          <w:numId w:val="1030"/>
        </w:numPr>
      </w:pPr>
      <w:r>
        <w:t xml:space="preserve">/renewal/notify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renewal-notification-engine"/>
    <w:p>
      <w:pPr>
        <w:pStyle w:val="Heading1"/>
      </w:pPr>
      <w:r>
        <w:rPr>
          <w:b/>
          <w:bCs/>
        </w:rPr>
        <w:t xml:space="preserve">10. RENEWAL &amp; NOTIFICATION ENGINE</w:t>
      </w:r>
    </w:p>
    <w:p>
      <w:pPr>
        <w:pStyle w:val="Compact"/>
        <w:numPr>
          <w:ilvl w:val="0"/>
          <w:numId w:val="1031"/>
        </w:numPr>
      </w:pPr>
      <w:r>
        <w:t xml:space="preserve">Cron job daily.</w:t>
      </w:r>
    </w:p>
    <w:p>
      <w:pPr>
        <w:pStyle w:val="Compact"/>
        <w:numPr>
          <w:ilvl w:val="0"/>
          <w:numId w:val="1031"/>
        </w:numPr>
      </w:pPr>
      <w:r>
        <w:t xml:space="preserve">Check renewals due in 30/15/7.</w:t>
      </w:r>
    </w:p>
    <w:p>
      <w:pPr>
        <w:pStyle w:val="Compact"/>
        <w:numPr>
          <w:ilvl w:val="0"/>
          <w:numId w:val="1031"/>
        </w:numPr>
      </w:pPr>
      <w:r>
        <w:t xml:space="preserve">Send WhatsApp + Email + In-app alert.</w:t>
      </w:r>
    </w:p>
    <w:p>
      <w:r>
        <w:pict>
          <v:rect style="width:0;height:1.5pt" o:hralign="center" o:hrstd="t" o:hr="t"/>
        </w:pict>
      </w:r>
    </w:p>
    <w:bookmarkEnd w:id="66"/>
    <w:bookmarkStart w:id="71" w:name="complete-government-integration-links"/>
    <w:p>
      <w:pPr>
        <w:pStyle w:val="Heading1"/>
      </w:pPr>
      <w:r>
        <w:rPr>
          <w:b/>
          <w:bCs/>
        </w:rPr>
        <w:t xml:space="preserve">11. COMPLETE GOVERNMENT INTEGRATION LINKS</w:t>
      </w:r>
    </w:p>
    <w:bookmarkStart w:id="67" w:name="uidai-aadhaar-authentication-kyc"/>
    <w:p>
      <w:pPr>
        <w:pStyle w:val="Heading2"/>
      </w:pPr>
      <w:r>
        <w:rPr>
          <w:b/>
          <w:bCs/>
        </w:rPr>
        <w:t xml:space="preserve">UIDAI – Aadhaar Authentication &amp; KYC</w:t>
      </w:r>
    </w:p>
    <w:p>
      <w:pPr>
        <w:pStyle w:val="Compact"/>
        <w:numPr>
          <w:ilvl w:val="0"/>
          <w:numId w:val="1032"/>
        </w:numPr>
      </w:pPr>
      <w:r>
        <w:t xml:space="preserve">Authentication Overview: https://uidai.gov.in/en/your-aadhaar/about-aadhaar/authentication</w:t>
      </w:r>
    </w:p>
    <w:p>
      <w:pPr>
        <w:pStyle w:val="Compact"/>
        <w:numPr>
          <w:ilvl w:val="0"/>
          <w:numId w:val="1032"/>
        </w:numPr>
      </w:pPr>
      <w:r>
        <w:t xml:space="preserve">Authentication API Docs: https://uidai.gov.in/en/tech-center/authentication-api.html</w:t>
      </w:r>
    </w:p>
    <w:p>
      <w:pPr>
        <w:pStyle w:val="Compact"/>
        <w:numPr>
          <w:ilvl w:val="0"/>
          <w:numId w:val="1032"/>
        </w:numPr>
      </w:pPr>
      <w:r>
        <w:t xml:space="preserve">UIDAI Developer Portal: https://www.uidai.gov.in</w:t>
      </w:r>
    </w:p>
    <w:p>
      <w:pPr>
        <w:pStyle w:val="Compact"/>
        <w:numPr>
          <w:ilvl w:val="0"/>
          <w:numId w:val="1032"/>
        </w:numPr>
      </w:pPr>
      <w:r>
        <w:t xml:space="preserve">AUA/KUA Ecosystem: https://uidai.gov.in/en/ecosystem/authentication-agencies</w:t>
      </w:r>
    </w:p>
    <w:p>
      <w:pPr>
        <w:pStyle w:val="Compact"/>
        <w:numPr>
          <w:ilvl w:val="0"/>
          <w:numId w:val="1032"/>
        </w:numPr>
      </w:pPr>
      <w:r>
        <w:t xml:space="preserve">e-KYC Overview: https://uidai.gov.in/en/your-aadhaar/about-aadhaar/ekyc</w:t>
      </w:r>
    </w:p>
    <w:p>
      <w:pPr>
        <w:pStyle w:val="Compact"/>
        <w:numPr>
          <w:ilvl w:val="0"/>
          <w:numId w:val="1032"/>
        </w:numPr>
      </w:pPr>
      <w:r>
        <w:t xml:space="preserve">Offline KYC: https://uidai.gov.in/en/my-aadhaar/offline-kyc.html</w:t>
      </w:r>
    </w:p>
    <w:p>
      <w:pPr>
        <w:pStyle w:val="Compact"/>
        <w:numPr>
          <w:ilvl w:val="0"/>
          <w:numId w:val="1032"/>
        </w:numPr>
      </w:pPr>
      <w:r>
        <w:t xml:space="preserve">Notice &amp; Consent Rules: https://uidai.gov.in/en/my-aadhaar/notice-and-consent-guidelines.html</w:t>
      </w:r>
    </w:p>
    <w:p>
      <w:pPr>
        <w:pStyle w:val="Compact"/>
        <w:numPr>
          <w:ilvl w:val="0"/>
          <w:numId w:val="1032"/>
        </w:numPr>
      </w:pPr>
      <w:r>
        <w:t xml:space="preserve">Aadhaar Dos &amp; Don’ts PDF: https://uidai.gov.in/images/uidai-aadhaar-dos-donts.pdf</w:t>
      </w:r>
    </w:p>
    <w:p>
      <w:pPr>
        <w:pStyle w:val="Compact"/>
        <w:numPr>
          <w:ilvl w:val="0"/>
          <w:numId w:val="1032"/>
        </w:numPr>
      </w:pPr>
      <w:r>
        <w:t xml:space="preserve">Virtual ID Info: https://uidai.gov.in/en/my-aadhaar/vid-generation.html</w:t>
      </w:r>
    </w:p>
    <w:bookmarkEnd w:id="67"/>
    <w:bookmarkStart w:id="68" w:name="digilocker-verified-document-fetch"/>
    <w:p>
      <w:pPr>
        <w:pStyle w:val="Heading2"/>
      </w:pPr>
      <w:r>
        <w:rPr>
          <w:b/>
          <w:bCs/>
        </w:rPr>
        <w:t xml:space="preserve">DigiLocker – Verified Document Fetch</w:t>
      </w:r>
    </w:p>
    <w:p>
      <w:pPr>
        <w:pStyle w:val="Compact"/>
        <w:numPr>
          <w:ilvl w:val="0"/>
          <w:numId w:val="1033"/>
        </w:numPr>
      </w:pPr>
      <w:r>
        <w:t xml:space="preserve">Developer Portal: https://digilocker.gov.in/developer</w:t>
      </w:r>
    </w:p>
    <w:p>
      <w:pPr>
        <w:pStyle w:val="Compact"/>
        <w:numPr>
          <w:ilvl w:val="0"/>
          <w:numId w:val="1033"/>
        </w:numPr>
      </w:pPr>
      <w:r>
        <w:t xml:space="preserve">APIs: https://developer.digilocker.gov.in</w:t>
      </w:r>
    </w:p>
    <w:p>
      <w:pPr>
        <w:pStyle w:val="Compact"/>
        <w:numPr>
          <w:ilvl w:val="0"/>
          <w:numId w:val="1033"/>
        </w:numPr>
      </w:pPr>
      <w:r>
        <w:t xml:space="preserve">Issuer/Requester Info: https://digilocker.gov.in/issuers</w:t>
      </w:r>
    </w:p>
    <w:bookmarkEnd w:id="68"/>
    <w:bookmarkStart w:id="69" w:name="pan-verification-proteannsdl"/>
    <w:p>
      <w:pPr>
        <w:pStyle w:val="Heading2"/>
      </w:pPr>
      <w:r>
        <w:rPr>
          <w:b/>
          <w:bCs/>
        </w:rPr>
        <w:t xml:space="preserve">PAN Verification – Protean/NSDL</w:t>
      </w:r>
    </w:p>
    <w:p>
      <w:pPr>
        <w:pStyle w:val="Compact"/>
        <w:numPr>
          <w:ilvl w:val="0"/>
          <w:numId w:val="1034"/>
        </w:numPr>
      </w:pPr>
      <w:r>
        <w:t xml:space="preserve">PAN Verification Service: https://www.protean-tinpan.com/services/pan-verification</w:t>
      </w:r>
    </w:p>
    <w:p>
      <w:pPr>
        <w:pStyle w:val="Compact"/>
        <w:numPr>
          <w:ilvl w:val="0"/>
          <w:numId w:val="1034"/>
        </w:numPr>
      </w:pPr>
      <w:r>
        <w:t xml:space="preserve">Registration: https://www.protean-tinpan.com/services/pan-verification/online-registration</w:t>
      </w:r>
    </w:p>
    <w:bookmarkEnd w:id="69"/>
    <w:bookmarkStart w:id="70" w:name="pan-verification-aggregator-setu"/>
    <w:p>
      <w:pPr>
        <w:pStyle w:val="Heading2"/>
      </w:pPr>
      <w:r>
        <w:rPr>
          <w:b/>
          <w:bCs/>
        </w:rPr>
        <w:t xml:space="preserve">PAN Verification Aggregator – Setu</w:t>
      </w:r>
    </w:p>
    <w:p>
      <w:pPr>
        <w:pStyle w:val="Compact"/>
        <w:numPr>
          <w:ilvl w:val="0"/>
          <w:numId w:val="1035"/>
        </w:numPr>
      </w:pPr>
      <w:r>
        <w:t xml:space="preserve">PAN Verification API: https://setu.co/pan-verification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final-notes"/>
    <w:p>
      <w:pPr>
        <w:pStyle w:val="Heading1"/>
      </w:pPr>
      <w:r>
        <w:rPr>
          <w:b/>
          <w:bCs/>
        </w:rPr>
        <w:t xml:space="preserve">12. FINAL NOTES</w:t>
      </w:r>
    </w:p>
    <w:p>
      <w:pPr>
        <w:pStyle w:val="FirstParagraph"/>
      </w:pPr>
      <w:r>
        <w:t xml:space="preserve">This document serves as the complete functional specification for the Calm Portal system. It includes:</w:t>
      </w:r>
      <w:r>
        <w:t xml:space="preserve"> </w:t>
      </w:r>
      <w:r>
        <w:t xml:space="preserve">- All features you requested.</w:t>
      </w:r>
      <w:r>
        <w:t xml:space="preserve"> </w:t>
      </w:r>
      <w:r>
        <w:t xml:space="preserve">- Official government verification references.</w:t>
      </w:r>
      <w:r>
        <w:t xml:space="preserve"> </w:t>
      </w:r>
      <w:r>
        <w:t xml:space="preserve">- Phase-wise development plan.</w:t>
      </w:r>
      <w:r>
        <w:t xml:space="preserve"> </w:t>
      </w:r>
      <w:r>
        <w:t xml:space="preserve">- API modules.</w:t>
      </w:r>
      <w:r>
        <w:t xml:space="preserve"> </w:t>
      </w:r>
      <w:r>
        <w:t xml:space="preserve">- Compliance considerations.</w:t>
      </w:r>
      <w:r>
        <w:t xml:space="preserve"> </w:t>
      </w:r>
      <w:r>
        <w:t xml:space="preserve">- Technical expectations for developers.</w:t>
      </w:r>
    </w:p>
    <w:p>
      <w:pPr>
        <w:pStyle w:val="BodyText"/>
      </w:pPr>
      <w:r>
        <w:t xml:space="preserve">You can add, modify, or request expansions anytime.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2025-11-22T14:01:02Z</dcterms:created>
  <dcterms:modified xsi:type="dcterms:W3CDTF">2025-11-22T14:01:02Z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