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eicmop7ya7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 5.1.3- LL. FESTIVAL- PARK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Leo &amp; Loona Kids Park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Terms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Conditions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الشروط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والأحكام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العامة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All participants must have a valid, signed waiver.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وموقع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Waivers must be signed by an adult (18+).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(١٨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فأكثر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Participation involves physical activity and may carry a risk of injury.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Leo &amp; Loona does not assess physical or health conditions.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Loona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للمشاركين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Responsibility for safe participation lies with parents/guardians.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٥.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Leo &amp; Loona is not responsible for injuries from misuse or negligence.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٦.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Loona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الإهمال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Children aged 5 and under must be supervised by a guardian.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بعمر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Children aged 6 and under must be accompanied by an adult.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بعمر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No time extensions will be granted for late arrivals.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Comfortable clothing is required.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Socks must be worn in activity areas.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Tickets are non-transferable and non-refundable.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Management is not responsible for lost or damaged belongings.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Time starts upon entry. No compensation for delays.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Right of admission is reserved.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١٥.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No outside food or drinks allowed.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١٦.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No food or drinks allowed inside activity areas.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Aggressive behavior or foul language is not tolerated.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بعدوانية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Pregnant women are advised not to participate in activities.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Guests must follow staff instructions at all times.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Violations may result in removal without refund.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Prices and operating hours are subject to change without notice.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Guests must follow all safety instructions and posted signage.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Additional terms and conditions may apply.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