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C45" w:rsidRPr="00454FD7" w:rsidRDefault="00BD7C45" w:rsidP="00BD7C45">
      <w:pPr>
        <w:autoSpaceDE w:val="0"/>
        <w:autoSpaceDN w:val="0"/>
        <w:adjustRightInd w:val="0"/>
        <w:spacing w:after="0" w:line="240" w:lineRule="auto"/>
        <w:rPr>
          <w:rFonts w:cs="NewBaskerville-Roman"/>
          <w:b/>
          <w:sz w:val="24"/>
          <w:szCs w:val="20"/>
        </w:rPr>
      </w:pPr>
      <w:r w:rsidRPr="00454FD7">
        <w:rPr>
          <w:rFonts w:ascii="FranklinGothic-DemiItal" w:hAnsi="FranklinGothic-DemiItal" w:cs="FranklinGothic-DemiItal"/>
          <w:b/>
          <w:bCs/>
          <w:i/>
          <w:iCs/>
          <w:color w:val="00704A"/>
          <w:sz w:val="29"/>
          <w:szCs w:val="25"/>
        </w:rPr>
        <w:t>Selecting join points with pointcuts</w:t>
      </w:r>
    </w:p>
    <w:p w:rsidR="0006094A" w:rsidRPr="003576BD" w:rsidRDefault="00BD7C45" w:rsidP="003C4E8E">
      <w:pPr>
        <w:pStyle w:val="ListParagraph"/>
        <w:numPr>
          <w:ilvl w:val="0"/>
          <w:numId w:val="1"/>
        </w:numPr>
        <w:autoSpaceDE w:val="0"/>
        <w:autoSpaceDN w:val="0"/>
        <w:adjustRightInd w:val="0"/>
        <w:spacing w:after="0" w:line="240" w:lineRule="auto"/>
      </w:pPr>
      <w:r w:rsidRPr="003576BD">
        <w:rPr>
          <w:rFonts w:cs="NewBaskerville-Roman"/>
          <w:sz w:val="20"/>
          <w:szCs w:val="20"/>
        </w:rPr>
        <w:t>As mentioned before, pointcuts are used to pinpoint where an aspect’s advice should be applied.</w:t>
      </w:r>
    </w:p>
    <w:p w:rsidR="001C6824" w:rsidRPr="003576BD" w:rsidRDefault="00E96EFD" w:rsidP="00477C06">
      <w:pPr>
        <w:pStyle w:val="ListParagraph"/>
        <w:numPr>
          <w:ilvl w:val="0"/>
          <w:numId w:val="1"/>
        </w:numPr>
        <w:autoSpaceDE w:val="0"/>
        <w:autoSpaceDN w:val="0"/>
        <w:adjustRightInd w:val="0"/>
        <w:spacing w:after="0" w:line="240" w:lineRule="auto"/>
      </w:pPr>
      <w:r w:rsidRPr="003576BD">
        <w:rPr>
          <w:rFonts w:cs="NewBaskerville-Roman"/>
          <w:sz w:val="20"/>
          <w:szCs w:val="20"/>
        </w:rPr>
        <w:t>Along with an aspect’s advice, pointcuts are among the most fundamental elements of an aspect.</w:t>
      </w:r>
      <w:r w:rsidR="00144F65" w:rsidRPr="003576BD">
        <w:rPr>
          <w:rFonts w:cs="NewBaskerville-Roman"/>
          <w:sz w:val="20"/>
          <w:szCs w:val="20"/>
        </w:rPr>
        <w:t xml:space="preserve"> Therefore, it’s important to know how to write pointcuts.</w:t>
      </w:r>
    </w:p>
    <w:p w:rsidR="000466CD" w:rsidRPr="003576BD" w:rsidRDefault="001E7902" w:rsidP="00477C06">
      <w:pPr>
        <w:pStyle w:val="ListParagraph"/>
        <w:numPr>
          <w:ilvl w:val="0"/>
          <w:numId w:val="1"/>
        </w:numPr>
        <w:autoSpaceDE w:val="0"/>
        <w:autoSpaceDN w:val="0"/>
        <w:adjustRightInd w:val="0"/>
        <w:spacing w:after="0" w:line="240" w:lineRule="auto"/>
      </w:pPr>
      <w:r w:rsidRPr="003576BD">
        <w:rPr>
          <w:rFonts w:cs="NewBaskerville-Roman"/>
          <w:sz w:val="20"/>
          <w:szCs w:val="20"/>
        </w:rPr>
        <w:t xml:space="preserve">In Spring </w:t>
      </w:r>
      <w:r w:rsidRPr="003576BD">
        <w:rPr>
          <w:rFonts w:cs="NewBaskerville-Roman"/>
          <w:sz w:val="18"/>
          <w:szCs w:val="18"/>
        </w:rPr>
        <w:t>AOP</w:t>
      </w:r>
      <w:r w:rsidRPr="003576BD">
        <w:rPr>
          <w:rFonts w:cs="NewBaskerville-Roman"/>
          <w:sz w:val="20"/>
          <w:szCs w:val="20"/>
        </w:rPr>
        <w:t>, pointcuts are defined using AspectJ’s pointcut expression language.</w:t>
      </w:r>
    </w:p>
    <w:p w:rsidR="009828F2" w:rsidRPr="003576BD" w:rsidRDefault="009828F2" w:rsidP="009828F2">
      <w:pPr>
        <w:pStyle w:val="ListParagraph"/>
        <w:numPr>
          <w:ilvl w:val="0"/>
          <w:numId w:val="1"/>
        </w:numPr>
        <w:autoSpaceDE w:val="0"/>
        <w:autoSpaceDN w:val="0"/>
        <w:adjustRightInd w:val="0"/>
        <w:spacing w:after="0" w:line="240" w:lineRule="auto"/>
      </w:pPr>
      <w:r w:rsidRPr="003576BD">
        <w:rPr>
          <w:rFonts w:cs="NewBaskerville-Roman"/>
          <w:sz w:val="20"/>
          <w:szCs w:val="20"/>
        </w:rPr>
        <w:t xml:space="preserve">The most important thing to know about AspectJ pointcuts as they pertain to Spring </w:t>
      </w:r>
      <w:r w:rsidRPr="003576BD">
        <w:rPr>
          <w:rFonts w:cs="NewBaskerville-Roman"/>
          <w:sz w:val="18"/>
          <w:szCs w:val="18"/>
        </w:rPr>
        <w:t xml:space="preserve">AOP </w:t>
      </w:r>
      <w:r w:rsidRPr="003576BD">
        <w:rPr>
          <w:rFonts w:cs="NewBaskerville-Roman"/>
          <w:sz w:val="20"/>
          <w:szCs w:val="20"/>
        </w:rPr>
        <w:t>is that Spring only supports a subset of the pointcut designators available in AspectJ.</w:t>
      </w:r>
    </w:p>
    <w:p w:rsidR="00ED3868" w:rsidRPr="003576BD" w:rsidRDefault="00ED3868" w:rsidP="00ED3868">
      <w:pPr>
        <w:pStyle w:val="ListParagraph"/>
        <w:numPr>
          <w:ilvl w:val="0"/>
          <w:numId w:val="1"/>
        </w:numPr>
        <w:autoSpaceDE w:val="0"/>
        <w:autoSpaceDN w:val="0"/>
        <w:adjustRightInd w:val="0"/>
        <w:spacing w:after="0" w:line="240" w:lineRule="auto"/>
      </w:pPr>
      <w:r w:rsidRPr="003576BD">
        <w:rPr>
          <w:rFonts w:cs="NewBaskerville-Roman"/>
          <w:sz w:val="20"/>
          <w:szCs w:val="20"/>
        </w:rPr>
        <w:t xml:space="preserve">Lists </w:t>
      </w:r>
      <w:r w:rsidR="00295812" w:rsidRPr="003576BD">
        <w:rPr>
          <w:rFonts w:cs="NewBaskerville-Roman"/>
          <w:sz w:val="20"/>
          <w:szCs w:val="20"/>
        </w:rPr>
        <w:t>of</w:t>
      </w:r>
      <w:r w:rsidRPr="003576BD">
        <w:rPr>
          <w:rFonts w:cs="NewBaskerville-Roman"/>
          <w:sz w:val="20"/>
          <w:szCs w:val="20"/>
        </w:rPr>
        <w:t xml:space="preserve"> AspectJ pointcut designators that are supported in Spring </w:t>
      </w:r>
      <w:r w:rsidRPr="003576BD">
        <w:rPr>
          <w:rFonts w:cs="NewBaskerville-Roman"/>
          <w:sz w:val="18"/>
          <w:szCs w:val="18"/>
        </w:rPr>
        <w:t>AOP</w:t>
      </w:r>
      <w:r w:rsidR="00295812" w:rsidRPr="003576BD">
        <w:rPr>
          <w:rFonts w:cs="NewBaskerville-Roman"/>
          <w:sz w:val="20"/>
          <w:szCs w:val="20"/>
        </w:rPr>
        <w:t>:</w:t>
      </w:r>
    </w:p>
    <w:p w:rsidR="00295812" w:rsidRPr="003576BD" w:rsidRDefault="00004A46" w:rsidP="00295812">
      <w:pPr>
        <w:pStyle w:val="ListParagraph"/>
        <w:autoSpaceDE w:val="0"/>
        <w:autoSpaceDN w:val="0"/>
        <w:adjustRightInd w:val="0"/>
        <w:spacing w:after="0" w:line="240" w:lineRule="auto"/>
      </w:pPr>
      <w:r w:rsidRPr="003576BD">
        <w:rPr>
          <w:noProof/>
        </w:rPr>
        <w:drawing>
          <wp:inline distT="0" distB="0" distL="0" distR="0">
            <wp:extent cx="5943600" cy="3890010"/>
            <wp:effectExtent l="19050" t="0" r="0" b="0"/>
            <wp:docPr id="1" name="Picture 0" descr="AcroRd32_2017-08-09_12-0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8-09_12-07-58.png"/>
                    <pic:cNvPicPr/>
                  </pic:nvPicPr>
                  <pic:blipFill>
                    <a:blip r:embed="rId5"/>
                    <a:stretch>
                      <a:fillRect/>
                    </a:stretch>
                  </pic:blipFill>
                  <pic:spPr>
                    <a:xfrm>
                      <a:off x="0" y="0"/>
                      <a:ext cx="5943600" cy="3890010"/>
                    </a:xfrm>
                    <a:prstGeom prst="rect">
                      <a:avLst/>
                    </a:prstGeom>
                  </pic:spPr>
                </pic:pic>
              </a:graphicData>
            </a:graphic>
          </wp:inline>
        </w:drawing>
      </w:r>
    </w:p>
    <w:p w:rsidR="00004A46" w:rsidRPr="003576BD" w:rsidRDefault="00245C0D" w:rsidP="00245C0D">
      <w:pPr>
        <w:pStyle w:val="ListParagraph"/>
        <w:numPr>
          <w:ilvl w:val="0"/>
          <w:numId w:val="1"/>
        </w:numPr>
        <w:autoSpaceDE w:val="0"/>
        <w:autoSpaceDN w:val="0"/>
        <w:adjustRightInd w:val="0"/>
        <w:spacing w:after="0" w:line="240" w:lineRule="auto"/>
      </w:pPr>
      <w:r w:rsidRPr="003576BD">
        <w:rPr>
          <w:rFonts w:cs="NewBaskerville-Roman"/>
          <w:color w:val="000000"/>
          <w:sz w:val="20"/>
          <w:szCs w:val="20"/>
        </w:rPr>
        <w:t xml:space="preserve">Attempting to use any of AspectJ’s other designators will result in an </w:t>
      </w:r>
      <w:r w:rsidRPr="003576BD">
        <w:rPr>
          <w:rFonts w:cs="Courier"/>
          <w:color w:val="00704A"/>
          <w:sz w:val="20"/>
          <w:szCs w:val="20"/>
        </w:rPr>
        <w:t xml:space="preserve">IllegalArgumentException </w:t>
      </w:r>
      <w:r w:rsidRPr="003576BD">
        <w:rPr>
          <w:rFonts w:cs="NewBaskerville-Roman"/>
          <w:color w:val="000000"/>
          <w:sz w:val="20"/>
          <w:szCs w:val="20"/>
        </w:rPr>
        <w:t>being thrown.</w:t>
      </w:r>
    </w:p>
    <w:p w:rsidR="003576BD" w:rsidRDefault="003576BD" w:rsidP="00E95C9E">
      <w:pPr>
        <w:pStyle w:val="ListParagraph"/>
        <w:numPr>
          <w:ilvl w:val="0"/>
          <w:numId w:val="1"/>
        </w:numPr>
        <w:autoSpaceDE w:val="0"/>
        <w:autoSpaceDN w:val="0"/>
        <w:adjustRightInd w:val="0"/>
        <w:spacing w:after="0" w:line="240" w:lineRule="auto"/>
        <w:rPr>
          <w:rFonts w:ascii="NewBaskerville-Roman" w:hAnsi="NewBaskerville-Roman" w:cs="NewBaskerville-Roman"/>
          <w:color w:val="000000"/>
          <w:sz w:val="20"/>
          <w:szCs w:val="20"/>
        </w:rPr>
      </w:pPr>
      <w:r w:rsidRPr="00E95C9E">
        <w:rPr>
          <w:rFonts w:ascii="NewBaskerville-Roman" w:hAnsi="NewBaskerville-Roman" w:cs="NewBaskerville-Roman"/>
          <w:color w:val="000000"/>
          <w:sz w:val="20"/>
          <w:szCs w:val="20"/>
        </w:rPr>
        <w:t xml:space="preserve">As you browse through the supported designators, note that the </w:t>
      </w:r>
      <w:r w:rsidRPr="00E95C9E">
        <w:rPr>
          <w:rFonts w:ascii="Courier" w:hAnsi="Courier" w:cs="Courier"/>
          <w:color w:val="00704A"/>
          <w:sz w:val="20"/>
          <w:szCs w:val="20"/>
        </w:rPr>
        <w:t xml:space="preserve">execution </w:t>
      </w:r>
      <w:r w:rsidRPr="00E95C9E">
        <w:rPr>
          <w:rFonts w:ascii="NewBaskerville-Roman" w:hAnsi="NewBaskerville-Roman" w:cs="NewBaskerville-Roman"/>
          <w:color w:val="000000"/>
          <w:sz w:val="20"/>
          <w:szCs w:val="20"/>
        </w:rPr>
        <w:t>designator is the only one that actually performs matches.</w:t>
      </w:r>
    </w:p>
    <w:p w:rsidR="00326B79" w:rsidRDefault="00326B79" w:rsidP="00043DA8">
      <w:pPr>
        <w:pStyle w:val="ListParagraph"/>
        <w:numPr>
          <w:ilvl w:val="0"/>
          <w:numId w:val="1"/>
        </w:numPr>
        <w:autoSpaceDE w:val="0"/>
        <w:autoSpaceDN w:val="0"/>
        <w:adjustRightInd w:val="0"/>
        <w:spacing w:after="0" w:line="240" w:lineRule="auto"/>
        <w:rPr>
          <w:rFonts w:ascii="NewBaskerville-Roman" w:hAnsi="NewBaskerville-Roman" w:cs="NewBaskerville-Roman"/>
          <w:color w:val="000000"/>
          <w:sz w:val="20"/>
          <w:szCs w:val="20"/>
        </w:rPr>
      </w:pPr>
      <w:r w:rsidRPr="00043DA8">
        <w:rPr>
          <w:rFonts w:ascii="NewBaskerville-Roman" w:hAnsi="NewBaskerville-Roman" w:cs="NewBaskerville-Roman"/>
          <w:color w:val="000000"/>
          <w:sz w:val="20"/>
          <w:szCs w:val="20"/>
        </w:rPr>
        <w:t xml:space="preserve">This means </w:t>
      </w:r>
      <w:r w:rsidRPr="00043DA8">
        <w:rPr>
          <w:rFonts w:ascii="Courier" w:hAnsi="Courier" w:cs="Courier"/>
          <w:color w:val="00704A"/>
          <w:sz w:val="20"/>
          <w:szCs w:val="20"/>
        </w:rPr>
        <w:t xml:space="preserve">execution </w:t>
      </w:r>
      <w:r w:rsidRPr="00043DA8">
        <w:rPr>
          <w:rFonts w:ascii="NewBaskerville-Roman" w:hAnsi="NewBaskerville-Roman" w:cs="NewBaskerville-Roman"/>
          <w:color w:val="000000"/>
          <w:sz w:val="20"/>
          <w:szCs w:val="20"/>
        </w:rPr>
        <w:t>is the primary designator you’ll use in every pointcut definition you write. You’ll use the other designators to constrain the pointcut’s reach.</w:t>
      </w:r>
    </w:p>
    <w:p w:rsidR="00E30303" w:rsidRDefault="00E30303" w:rsidP="00E30303">
      <w:pPr>
        <w:autoSpaceDE w:val="0"/>
        <w:autoSpaceDN w:val="0"/>
        <w:adjustRightInd w:val="0"/>
        <w:spacing w:after="0" w:line="240" w:lineRule="auto"/>
        <w:rPr>
          <w:rFonts w:ascii="NewBaskerville-Roman" w:hAnsi="NewBaskerville-Roman" w:cs="NewBaskerville-Roman"/>
          <w:color w:val="000000"/>
          <w:sz w:val="20"/>
          <w:szCs w:val="20"/>
        </w:rPr>
      </w:pPr>
    </w:p>
    <w:p w:rsidR="00AA6B15" w:rsidRDefault="00AA6B15" w:rsidP="00AA6B15">
      <w:pPr>
        <w:rPr>
          <w:rFonts w:ascii="FranklinGothic-DemiItal" w:hAnsi="FranklinGothic-DemiItal" w:cs="FranklinGothic-DemiItal"/>
          <w:b/>
          <w:bCs/>
          <w:i/>
          <w:iCs/>
          <w:color w:val="00704A"/>
          <w:sz w:val="21"/>
          <w:szCs w:val="21"/>
        </w:rPr>
      </w:pPr>
      <w:r>
        <w:rPr>
          <w:rFonts w:ascii="FranklinGothic-DemiItal" w:hAnsi="FranklinGothic-DemiItal" w:cs="FranklinGothic-DemiItal"/>
          <w:b/>
          <w:bCs/>
          <w:i/>
          <w:iCs/>
          <w:color w:val="00704A"/>
          <w:sz w:val="21"/>
          <w:szCs w:val="21"/>
        </w:rPr>
        <w:t>Writing pointcuts</w:t>
      </w:r>
    </w:p>
    <w:p w:rsidR="00AA6B15" w:rsidRDefault="00AA6B15" w:rsidP="00AA6B15">
      <w:pPr>
        <w:autoSpaceDE w:val="0"/>
        <w:autoSpaceDN w:val="0"/>
        <w:adjustRightInd w:val="0"/>
        <w:spacing w:after="0" w:line="240" w:lineRule="auto"/>
        <w:rPr>
          <w:rFonts w:ascii="NewBaskerville-Roman" w:hAnsi="NewBaskerville-Roman" w:cs="NewBaskerville-Roman"/>
          <w:color w:val="000000"/>
        </w:rPr>
      </w:pPr>
      <w:r w:rsidRPr="00016732">
        <w:rPr>
          <w:rFonts w:ascii="NewBaskerville-Roman" w:hAnsi="NewBaskerville-Roman" w:cs="NewBaskerville-Roman"/>
          <w:color w:val="000000"/>
        </w:rPr>
        <w:t xml:space="preserve">To demonstrate aspects in Spring, you need something to be the subject of the aspect’s pointcuts. For that purpose, let’s define a </w:t>
      </w:r>
      <w:r w:rsidRPr="00016732">
        <w:rPr>
          <w:rFonts w:ascii="Courier" w:hAnsi="Courier" w:cs="Courier"/>
          <w:color w:val="00704A"/>
        </w:rPr>
        <w:t xml:space="preserve">Performance </w:t>
      </w:r>
      <w:r w:rsidRPr="00016732">
        <w:rPr>
          <w:rFonts w:ascii="NewBaskerville-Roman" w:hAnsi="NewBaskerville-Roman" w:cs="NewBaskerville-Roman"/>
          <w:color w:val="000000"/>
        </w:rPr>
        <w:t>interface:</w:t>
      </w:r>
    </w:p>
    <w:p w:rsidR="00AA6B15" w:rsidRDefault="00AA6B15" w:rsidP="00AA6B15">
      <w:pPr>
        <w:autoSpaceDE w:val="0"/>
        <w:autoSpaceDN w:val="0"/>
        <w:adjustRightInd w:val="0"/>
        <w:spacing w:after="0" w:line="240" w:lineRule="auto"/>
        <w:rPr>
          <w:rFonts w:ascii="NewBaskerville-Roman" w:hAnsi="NewBaskerville-Roman" w:cs="NewBaskerville-Roman"/>
          <w:color w:val="000000"/>
        </w:rPr>
      </w:pPr>
    </w:p>
    <w:p w:rsidR="00AA6B15" w:rsidRDefault="00AA6B15" w:rsidP="00AA6B15">
      <w:pPr>
        <w:autoSpaceDE w:val="0"/>
        <w:autoSpaceDN w:val="0"/>
        <w:adjustRightInd w:val="0"/>
        <w:spacing w:after="0" w:line="240" w:lineRule="auto"/>
        <w:rPr>
          <w:rFonts w:ascii="NewBaskerville-Roman" w:hAnsi="NewBaskerville-Roman" w:cs="NewBaskerville-Roman"/>
          <w:color w:val="000000"/>
        </w:rPr>
      </w:pPr>
      <w:r>
        <w:rPr>
          <w:rFonts w:ascii="NewBaskerville-Roman" w:hAnsi="NewBaskerville-Roman" w:cs="NewBaskerville-Roman"/>
          <w:noProof/>
          <w:color w:val="000000"/>
        </w:rPr>
        <w:drawing>
          <wp:inline distT="0" distB="0" distL="0" distR="0">
            <wp:extent cx="3368332" cy="746825"/>
            <wp:effectExtent l="19050" t="0" r="3518" b="0"/>
            <wp:docPr id="2" name="Picture 1"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6"/>
                    <a:stretch>
                      <a:fillRect/>
                    </a:stretch>
                  </pic:blipFill>
                  <pic:spPr>
                    <a:xfrm>
                      <a:off x="0" y="0"/>
                      <a:ext cx="3368332" cy="746825"/>
                    </a:xfrm>
                    <a:prstGeom prst="rect">
                      <a:avLst/>
                    </a:prstGeom>
                  </pic:spPr>
                </pic:pic>
              </a:graphicData>
            </a:graphic>
          </wp:inline>
        </w:drawing>
      </w:r>
    </w:p>
    <w:p w:rsidR="00AA6B15" w:rsidRDefault="00AA6B15" w:rsidP="00AA6B15">
      <w:pPr>
        <w:autoSpaceDE w:val="0"/>
        <w:autoSpaceDN w:val="0"/>
        <w:adjustRightInd w:val="0"/>
        <w:spacing w:after="0" w:line="240" w:lineRule="auto"/>
        <w:rPr>
          <w:rFonts w:ascii="NewBaskerville-Roman" w:hAnsi="NewBaskerville-Roman" w:cs="NewBaskerville-Roman"/>
          <w:color w:val="000000"/>
        </w:rPr>
      </w:pPr>
    </w:p>
    <w:p w:rsidR="00AA6B15" w:rsidRPr="00873573" w:rsidRDefault="00AA6B15" w:rsidP="00AA6B15">
      <w:pPr>
        <w:pStyle w:val="ListParagraph"/>
        <w:numPr>
          <w:ilvl w:val="0"/>
          <w:numId w:val="2"/>
        </w:numPr>
        <w:autoSpaceDE w:val="0"/>
        <w:autoSpaceDN w:val="0"/>
        <w:adjustRightInd w:val="0"/>
        <w:spacing w:after="0" w:line="240" w:lineRule="auto"/>
      </w:pPr>
      <w:r w:rsidRPr="00873573">
        <w:rPr>
          <w:rFonts w:ascii="Courier" w:hAnsi="Courier" w:cs="Courier"/>
          <w:color w:val="00704A"/>
        </w:rPr>
        <w:lastRenderedPageBreak/>
        <w:t xml:space="preserve">Performance </w:t>
      </w:r>
      <w:r w:rsidRPr="00873573">
        <w:rPr>
          <w:rFonts w:cs="NewBaskerville-Roman"/>
          <w:color w:val="000000"/>
        </w:rPr>
        <w:t>represents any kind of live performance, such as a stage play, a movie, or a concert.</w:t>
      </w:r>
    </w:p>
    <w:p w:rsidR="00AA6B15" w:rsidRPr="00DB5D56" w:rsidRDefault="00AA6B15" w:rsidP="00AA6B15">
      <w:pPr>
        <w:pStyle w:val="ListParagraph"/>
        <w:numPr>
          <w:ilvl w:val="0"/>
          <w:numId w:val="2"/>
        </w:numPr>
        <w:autoSpaceDE w:val="0"/>
        <w:autoSpaceDN w:val="0"/>
        <w:adjustRightInd w:val="0"/>
        <w:spacing w:after="0" w:line="240" w:lineRule="auto"/>
      </w:pPr>
      <w:r w:rsidRPr="00390215">
        <w:rPr>
          <w:rFonts w:cs="NewBaskerville-Roman"/>
          <w:color w:val="000000"/>
        </w:rPr>
        <w:t>Let’s say that you want to write an aspect that triggers off</w:t>
      </w:r>
      <w:r w:rsidRPr="00390215">
        <w:rPr>
          <w:rFonts w:ascii="NewBaskerville-Roman" w:hAnsi="NewBaskerville-Roman" w:cs="NewBaskerville-Roman"/>
          <w:color w:val="000000"/>
          <w:sz w:val="20"/>
          <w:szCs w:val="20"/>
        </w:rPr>
        <w:t xml:space="preserve"> </w:t>
      </w:r>
      <w:r w:rsidRPr="00390215">
        <w:rPr>
          <w:rFonts w:ascii="Courier" w:hAnsi="Courier" w:cs="Courier"/>
          <w:color w:val="00704A"/>
          <w:sz w:val="20"/>
          <w:szCs w:val="20"/>
        </w:rPr>
        <w:t>Performance</w:t>
      </w:r>
      <w:r w:rsidRPr="00390215">
        <w:rPr>
          <w:rFonts w:ascii="NewBaskerville-Roman" w:hAnsi="NewBaskerville-Roman" w:cs="NewBaskerville-Roman"/>
          <w:color w:val="000000"/>
          <w:sz w:val="20"/>
          <w:szCs w:val="20"/>
        </w:rPr>
        <w:t>’s</w:t>
      </w:r>
      <w:r>
        <w:rPr>
          <w:rFonts w:ascii="NewBaskerville-Roman" w:hAnsi="NewBaskerville-Roman" w:cs="NewBaskerville-Roman"/>
          <w:color w:val="000000"/>
          <w:sz w:val="20"/>
          <w:szCs w:val="20"/>
        </w:rPr>
        <w:t xml:space="preserve"> </w:t>
      </w:r>
      <w:r w:rsidRPr="00390215">
        <w:rPr>
          <w:rFonts w:ascii="Courier" w:hAnsi="Courier" w:cs="Courier"/>
          <w:color w:val="00704A"/>
          <w:sz w:val="20"/>
          <w:szCs w:val="20"/>
        </w:rPr>
        <w:t xml:space="preserve">perform() </w:t>
      </w:r>
      <w:r w:rsidRPr="00390215">
        <w:rPr>
          <w:rFonts w:cs="NewBaskerville-Roman"/>
          <w:color w:val="000000"/>
        </w:rPr>
        <w:t>method.</w:t>
      </w:r>
    </w:p>
    <w:p w:rsidR="00AA6B15" w:rsidRPr="00EB01FC" w:rsidRDefault="00AA6B15" w:rsidP="00AA6B15">
      <w:pPr>
        <w:pStyle w:val="ListParagraph"/>
        <w:numPr>
          <w:ilvl w:val="0"/>
          <w:numId w:val="2"/>
        </w:numPr>
        <w:autoSpaceDE w:val="0"/>
        <w:autoSpaceDN w:val="0"/>
        <w:adjustRightInd w:val="0"/>
        <w:spacing w:after="0" w:line="240" w:lineRule="auto"/>
      </w:pPr>
      <w:r>
        <w:rPr>
          <w:rFonts w:cs="NewBaskerville-Roman"/>
          <w:color w:val="000000"/>
        </w:rPr>
        <w:t xml:space="preserve">Below Code </w:t>
      </w:r>
      <w:r w:rsidRPr="00EB01FC">
        <w:rPr>
          <w:rFonts w:cs="NewBaskerville-Roman"/>
          <w:color w:val="000000"/>
        </w:rPr>
        <w:t xml:space="preserve">shows a pointcut expression that can be used to apply advice whenever the </w:t>
      </w:r>
      <w:r w:rsidRPr="00EB01FC">
        <w:rPr>
          <w:rFonts w:cs="Courier"/>
          <w:color w:val="00704A"/>
        </w:rPr>
        <w:t xml:space="preserve">perform() </w:t>
      </w:r>
      <w:r w:rsidRPr="00EB01FC">
        <w:rPr>
          <w:rFonts w:cs="NewBaskerville-Roman"/>
          <w:color w:val="000000"/>
        </w:rPr>
        <w:t>method is executed</w:t>
      </w:r>
    </w:p>
    <w:p w:rsidR="00AA6B15" w:rsidRDefault="00AA6B15" w:rsidP="00AA6B15">
      <w:pPr>
        <w:pStyle w:val="ListParagraph"/>
        <w:autoSpaceDE w:val="0"/>
        <w:autoSpaceDN w:val="0"/>
        <w:adjustRightInd w:val="0"/>
        <w:spacing w:after="0" w:line="240" w:lineRule="auto"/>
      </w:pPr>
      <w:r>
        <w:rPr>
          <w:noProof/>
        </w:rPr>
        <w:drawing>
          <wp:inline distT="0" distB="0" distL="0" distR="0">
            <wp:extent cx="5943600" cy="2208530"/>
            <wp:effectExtent l="19050" t="0" r="0" b="0"/>
            <wp:docPr id="3" name="Picture 2"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7"/>
                    <a:stretch>
                      <a:fillRect/>
                    </a:stretch>
                  </pic:blipFill>
                  <pic:spPr>
                    <a:xfrm>
                      <a:off x="0" y="0"/>
                      <a:ext cx="5943600" cy="2208530"/>
                    </a:xfrm>
                    <a:prstGeom prst="rect">
                      <a:avLst/>
                    </a:prstGeom>
                  </pic:spPr>
                </pic:pic>
              </a:graphicData>
            </a:graphic>
          </wp:inline>
        </w:drawing>
      </w:r>
    </w:p>
    <w:p w:rsidR="00AA6B15" w:rsidRPr="007A4A26" w:rsidRDefault="00AA6B15" w:rsidP="00AA6B15">
      <w:pPr>
        <w:pStyle w:val="ListParagraph"/>
        <w:numPr>
          <w:ilvl w:val="0"/>
          <w:numId w:val="2"/>
        </w:numPr>
        <w:autoSpaceDE w:val="0"/>
        <w:autoSpaceDN w:val="0"/>
        <w:adjustRightInd w:val="0"/>
        <w:spacing w:after="0" w:line="240" w:lineRule="auto"/>
      </w:pPr>
      <w:r w:rsidRPr="00EB01FC">
        <w:rPr>
          <w:rFonts w:cs="NewBaskerville-Roman"/>
          <w:color w:val="000000"/>
        </w:rPr>
        <w:t xml:space="preserve">You use the </w:t>
      </w:r>
      <w:r w:rsidRPr="00EB01FC">
        <w:rPr>
          <w:rFonts w:cs="Courier"/>
          <w:color w:val="00704A"/>
        </w:rPr>
        <w:t xml:space="preserve">execution() </w:t>
      </w:r>
      <w:r w:rsidRPr="00EB01FC">
        <w:rPr>
          <w:rFonts w:cs="NewBaskerville-Roman"/>
          <w:color w:val="000000"/>
        </w:rPr>
        <w:t xml:space="preserve">designator to select </w:t>
      </w:r>
      <w:r w:rsidRPr="00EB01FC">
        <w:rPr>
          <w:rFonts w:cs="Courier"/>
          <w:color w:val="00704A"/>
        </w:rPr>
        <w:t>Performance</w:t>
      </w:r>
      <w:r w:rsidRPr="00EB01FC">
        <w:rPr>
          <w:rFonts w:cs="NewBaskerville-Roman"/>
          <w:color w:val="000000"/>
        </w:rPr>
        <w:t xml:space="preserve">’s </w:t>
      </w:r>
      <w:r w:rsidRPr="00EB01FC">
        <w:rPr>
          <w:rFonts w:cs="Courier"/>
          <w:color w:val="00704A"/>
        </w:rPr>
        <w:t xml:space="preserve">perform() </w:t>
      </w:r>
      <w:r w:rsidRPr="00EB01FC">
        <w:rPr>
          <w:rFonts w:cs="NewBaskerville-Roman"/>
          <w:color w:val="000000"/>
        </w:rPr>
        <w:t>method. The method specification starts with an asterisk, which indicates that you don’t care what type the method returns. Then you specify the fully qualified class name and the name of the method you want to select. For the method’s parameter list, you use the double dot (</w:t>
      </w:r>
      <w:r w:rsidRPr="00EB01FC">
        <w:rPr>
          <w:rFonts w:cs="Courier"/>
          <w:color w:val="00704A"/>
        </w:rPr>
        <w:t>..</w:t>
      </w:r>
      <w:r w:rsidRPr="00EB01FC">
        <w:rPr>
          <w:rFonts w:cs="NewBaskerville-Roman"/>
          <w:color w:val="000000"/>
        </w:rPr>
        <w:t xml:space="preserve">), indicating that the pointcut should select any </w:t>
      </w:r>
      <w:r w:rsidRPr="00EB01FC">
        <w:rPr>
          <w:rFonts w:cs="Courier"/>
          <w:color w:val="00704A"/>
        </w:rPr>
        <w:t xml:space="preserve">perform() </w:t>
      </w:r>
      <w:r w:rsidRPr="00EB01FC">
        <w:rPr>
          <w:rFonts w:cs="NewBaskerville-Roman"/>
          <w:color w:val="000000"/>
        </w:rPr>
        <w:t>method, no matter what the argument list is.</w:t>
      </w:r>
    </w:p>
    <w:p w:rsidR="00AA6B15" w:rsidRPr="007A4A26" w:rsidRDefault="00AA6B15" w:rsidP="00AA6B15">
      <w:pPr>
        <w:pStyle w:val="ListParagraph"/>
        <w:numPr>
          <w:ilvl w:val="0"/>
          <w:numId w:val="2"/>
        </w:numPr>
        <w:autoSpaceDE w:val="0"/>
        <w:autoSpaceDN w:val="0"/>
        <w:adjustRightInd w:val="0"/>
        <w:spacing w:after="0" w:line="240" w:lineRule="auto"/>
        <w:rPr>
          <w:sz w:val="24"/>
        </w:rPr>
      </w:pPr>
      <w:r w:rsidRPr="007A4A26">
        <w:rPr>
          <w:rFonts w:cs="NewBaskerville-Roman"/>
          <w:color w:val="000000"/>
          <w:szCs w:val="20"/>
        </w:rPr>
        <w:t xml:space="preserve">Now let’s suppose that you want to confine the reach of that pointcut to only the </w:t>
      </w:r>
      <w:r w:rsidRPr="007A4A26">
        <w:rPr>
          <w:rFonts w:cs="Courier"/>
          <w:color w:val="00704A"/>
          <w:szCs w:val="20"/>
        </w:rPr>
        <w:t xml:space="preserve">concert </w:t>
      </w:r>
      <w:r w:rsidRPr="007A4A26">
        <w:rPr>
          <w:rFonts w:cs="NewBaskerville-Roman"/>
          <w:color w:val="000000"/>
          <w:szCs w:val="20"/>
        </w:rPr>
        <w:t xml:space="preserve">package. In  </w:t>
      </w:r>
      <w:r w:rsidR="00121655">
        <w:rPr>
          <w:rFonts w:cs="NewBaskerville-Roman"/>
          <w:color w:val="000000"/>
          <w:szCs w:val="20"/>
        </w:rPr>
        <w:t>t</w:t>
      </w:r>
      <w:r w:rsidRPr="007A4A26">
        <w:rPr>
          <w:rFonts w:cs="NewBaskerville-Roman"/>
          <w:color w:val="000000"/>
          <w:szCs w:val="20"/>
        </w:rPr>
        <w:t xml:space="preserve">hat case, you can limit the match by tacking on a </w:t>
      </w:r>
      <w:r w:rsidRPr="007A4A26">
        <w:rPr>
          <w:rFonts w:cs="Courier"/>
          <w:color w:val="00704A"/>
          <w:szCs w:val="20"/>
        </w:rPr>
        <w:t xml:space="preserve">within() </w:t>
      </w:r>
      <w:r w:rsidRPr="007A4A26">
        <w:rPr>
          <w:rFonts w:cs="NewBaskerville-Roman"/>
          <w:color w:val="000000"/>
          <w:szCs w:val="20"/>
        </w:rPr>
        <w:t>designator, as shown:</w:t>
      </w:r>
    </w:p>
    <w:p w:rsidR="00AA6B15" w:rsidRDefault="00AA6B15" w:rsidP="00AA6B15">
      <w:pPr>
        <w:pStyle w:val="ListParagraph"/>
        <w:autoSpaceDE w:val="0"/>
        <w:autoSpaceDN w:val="0"/>
        <w:adjustRightInd w:val="0"/>
        <w:spacing w:after="0" w:line="240" w:lineRule="auto"/>
      </w:pPr>
      <w:r>
        <w:rPr>
          <w:noProof/>
        </w:rPr>
        <w:drawing>
          <wp:inline distT="0" distB="0" distL="0" distR="0">
            <wp:extent cx="5860288" cy="2507197"/>
            <wp:effectExtent l="19050" t="0" r="7112" b="0"/>
            <wp:docPr id="4" name="Picture 3"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8"/>
                    <a:stretch>
                      <a:fillRect/>
                    </a:stretch>
                  </pic:blipFill>
                  <pic:spPr>
                    <a:xfrm>
                      <a:off x="0" y="0"/>
                      <a:ext cx="5860288" cy="2507197"/>
                    </a:xfrm>
                    <a:prstGeom prst="rect">
                      <a:avLst/>
                    </a:prstGeom>
                  </pic:spPr>
                </pic:pic>
              </a:graphicData>
            </a:graphic>
          </wp:inline>
        </w:drawing>
      </w:r>
    </w:p>
    <w:p w:rsidR="00AA6B15" w:rsidRPr="007D38F7" w:rsidRDefault="00AA6B15" w:rsidP="00AA6B15">
      <w:pPr>
        <w:pStyle w:val="ListParagraph"/>
        <w:numPr>
          <w:ilvl w:val="0"/>
          <w:numId w:val="2"/>
        </w:numPr>
        <w:autoSpaceDE w:val="0"/>
        <w:autoSpaceDN w:val="0"/>
        <w:adjustRightInd w:val="0"/>
        <w:spacing w:after="0" w:line="240" w:lineRule="auto"/>
      </w:pPr>
      <w:r w:rsidRPr="007D38F7">
        <w:rPr>
          <w:rFonts w:cs="NewBaskerville-Roman"/>
          <w:color w:val="000000"/>
        </w:rPr>
        <w:t xml:space="preserve">Note that you use the </w:t>
      </w:r>
      <w:r w:rsidRPr="007D38F7">
        <w:rPr>
          <w:rFonts w:cs="Courier"/>
          <w:color w:val="00704A"/>
        </w:rPr>
        <w:t xml:space="preserve">&amp;&amp; </w:t>
      </w:r>
      <w:r w:rsidRPr="007D38F7">
        <w:rPr>
          <w:rFonts w:cs="NewBaskerville-Roman"/>
          <w:color w:val="000000"/>
        </w:rPr>
        <w:t xml:space="preserve">operator to combine the </w:t>
      </w:r>
      <w:r w:rsidRPr="007D38F7">
        <w:rPr>
          <w:rFonts w:cs="Courier"/>
          <w:color w:val="00704A"/>
        </w:rPr>
        <w:t xml:space="preserve">execution() </w:t>
      </w:r>
      <w:r w:rsidRPr="007D38F7">
        <w:rPr>
          <w:rFonts w:cs="NewBaskerville-Roman"/>
          <w:color w:val="000000"/>
        </w:rPr>
        <w:t xml:space="preserve">and </w:t>
      </w:r>
      <w:r w:rsidRPr="007D38F7">
        <w:rPr>
          <w:rFonts w:cs="Courier"/>
          <w:color w:val="00704A"/>
        </w:rPr>
        <w:t>within()</w:t>
      </w:r>
      <w:r w:rsidRPr="007D38F7">
        <w:rPr>
          <w:rFonts w:cs="NewBaskerville-Roman"/>
          <w:color w:val="000000"/>
        </w:rPr>
        <w:t>designators in an “and” relationship (where both designators must match for the pointcut to match).</w:t>
      </w:r>
    </w:p>
    <w:p w:rsidR="00AA6B15" w:rsidRPr="009557FC" w:rsidRDefault="00AA6B15" w:rsidP="00AA6B15">
      <w:pPr>
        <w:pStyle w:val="ListParagraph"/>
        <w:numPr>
          <w:ilvl w:val="0"/>
          <w:numId w:val="2"/>
        </w:numPr>
        <w:autoSpaceDE w:val="0"/>
        <w:autoSpaceDN w:val="0"/>
        <w:adjustRightInd w:val="0"/>
        <w:spacing w:after="0" w:line="240" w:lineRule="auto"/>
      </w:pPr>
      <w:r w:rsidRPr="002C11C9">
        <w:rPr>
          <w:rFonts w:cs="NewBaskerville-Roman"/>
          <w:color w:val="000000"/>
        </w:rPr>
        <w:t xml:space="preserve">Similarly, you could use the </w:t>
      </w:r>
      <w:r w:rsidRPr="002C11C9">
        <w:rPr>
          <w:rFonts w:cs="Courier"/>
          <w:color w:val="00704A"/>
        </w:rPr>
        <w:t xml:space="preserve">|| </w:t>
      </w:r>
      <w:r w:rsidRPr="002C11C9">
        <w:rPr>
          <w:rFonts w:cs="NewBaskerville-Roman"/>
          <w:color w:val="000000"/>
        </w:rPr>
        <w:t xml:space="preserve">operator to indicate an “or” relationship. And the </w:t>
      </w:r>
      <w:r w:rsidRPr="002C11C9">
        <w:rPr>
          <w:rFonts w:cs="Courier"/>
          <w:color w:val="00704A"/>
        </w:rPr>
        <w:t xml:space="preserve">! </w:t>
      </w:r>
      <w:r w:rsidRPr="002C11C9">
        <w:rPr>
          <w:rFonts w:cs="NewBaskerville-Roman"/>
          <w:color w:val="000000"/>
        </w:rPr>
        <w:t>operator can be used to negate the effect of a designator.</w:t>
      </w:r>
    </w:p>
    <w:p w:rsidR="00AA6B15" w:rsidRPr="00273E7D" w:rsidRDefault="00AA6B15" w:rsidP="00AA6B15">
      <w:pPr>
        <w:pStyle w:val="ListParagraph"/>
        <w:numPr>
          <w:ilvl w:val="0"/>
          <w:numId w:val="2"/>
        </w:numPr>
        <w:autoSpaceDE w:val="0"/>
        <w:autoSpaceDN w:val="0"/>
        <w:adjustRightInd w:val="0"/>
        <w:spacing w:after="0" w:line="240" w:lineRule="auto"/>
      </w:pPr>
      <w:r w:rsidRPr="009557FC">
        <w:rPr>
          <w:rFonts w:ascii="NewBaskerville-Roman" w:hAnsi="NewBaskerville-Roman" w:cs="NewBaskerville-Roman"/>
          <w:color w:val="000000"/>
          <w:sz w:val="20"/>
          <w:szCs w:val="20"/>
        </w:rPr>
        <w:t xml:space="preserve">Because ampersands have special meaning in </w:t>
      </w:r>
      <w:r w:rsidRPr="009557FC">
        <w:rPr>
          <w:rFonts w:ascii="NewBaskerville-Roman" w:hAnsi="NewBaskerville-Roman" w:cs="NewBaskerville-Roman"/>
          <w:color w:val="000000"/>
          <w:sz w:val="18"/>
          <w:szCs w:val="18"/>
        </w:rPr>
        <w:t>XML</w:t>
      </w:r>
      <w:r w:rsidRPr="009557FC">
        <w:rPr>
          <w:rFonts w:ascii="NewBaskerville-Roman" w:hAnsi="NewBaskerville-Roman" w:cs="NewBaskerville-Roman"/>
          <w:color w:val="000000"/>
          <w:sz w:val="20"/>
          <w:szCs w:val="20"/>
        </w:rPr>
        <w:t xml:space="preserve">, you’re free to use </w:t>
      </w:r>
      <w:r w:rsidRPr="009557FC">
        <w:rPr>
          <w:rFonts w:ascii="Courier" w:hAnsi="Courier" w:cs="Courier"/>
          <w:color w:val="00704A"/>
          <w:sz w:val="20"/>
          <w:szCs w:val="20"/>
        </w:rPr>
        <w:t xml:space="preserve">and </w:t>
      </w:r>
      <w:r w:rsidRPr="009557FC">
        <w:rPr>
          <w:rFonts w:ascii="NewBaskerville-Roman" w:hAnsi="NewBaskerville-Roman" w:cs="NewBaskerville-Roman"/>
          <w:color w:val="000000"/>
          <w:sz w:val="20"/>
          <w:szCs w:val="20"/>
        </w:rPr>
        <w:t xml:space="preserve">in place of </w:t>
      </w:r>
      <w:r w:rsidRPr="009557FC">
        <w:rPr>
          <w:rFonts w:ascii="Courier" w:hAnsi="Courier" w:cs="Courier"/>
          <w:color w:val="00704A"/>
          <w:sz w:val="20"/>
          <w:szCs w:val="20"/>
        </w:rPr>
        <w:t xml:space="preserve">&amp;&amp; </w:t>
      </w:r>
      <w:r w:rsidRPr="009557FC">
        <w:rPr>
          <w:rFonts w:ascii="NewBaskerville-Roman" w:hAnsi="NewBaskerville-Roman" w:cs="NewBaskerville-Roman"/>
          <w:color w:val="000000"/>
          <w:sz w:val="20"/>
          <w:szCs w:val="20"/>
        </w:rPr>
        <w:t xml:space="preserve">when  </w:t>
      </w:r>
      <w:r>
        <w:rPr>
          <w:rFonts w:ascii="NewBaskerville-Roman" w:hAnsi="NewBaskerville-Roman" w:cs="NewBaskerville-Roman"/>
          <w:color w:val="000000"/>
          <w:sz w:val="20"/>
          <w:szCs w:val="20"/>
        </w:rPr>
        <w:t>s</w:t>
      </w:r>
      <w:r w:rsidRPr="009557FC">
        <w:rPr>
          <w:rFonts w:ascii="NewBaskerville-Roman" w:hAnsi="NewBaskerville-Roman" w:cs="NewBaskerville-Roman"/>
          <w:color w:val="000000"/>
          <w:sz w:val="20"/>
          <w:szCs w:val="20"/>
        </w:rPr>
        <w:t xml:space="preserve">pecifying pointcuts in a Spring </w:t>
      </w:r>
      <w:r w:rsidRPr="009557FC">
        <w:rPr>
          <w:rFonts w:ascii="NewBaskerville-Roman" w:hAnsi="NewBaskerville-Roman" w:cs="NewBaskerville-Roman"/>
          <w:color w:val="000000"/>
          <w:sz w:val="18"/>
          <w:szCs w:val="18"/>
        </w:rPr>
        <w:t>XML</w:t>
      </w:r>
      <w:r w:rsidRPr="009557FC">
        <w:rPr>
          <w:rFonts w:ascii="NewBaskerville-Roman" w:hAnsi="NewBaskerville-Roman" w:cs="NewBaskerville-Roman"/>
          <w:color w:val="000000"/>
          <w:sz w:val="20"/>
          <w:szCs w:val="20"/>
        </w:rPr>
        <w:t xml:space="preserve">-based configuration. Likewise, </w:t>
      </w:r>
      <w:r w:rsidRPr="009557FC">
        <w:rPr>
          <w:rFonts w:ascii="Courier" w:hAnsi="Courier" w:cs="Courier"/>
          <w:color w:val="00704A"/>
          <w:sz w:val="20"/>
          <w:szCs w:val="20"/>
        </w:rPr>
        <w:t xml:space="preserve">or </w:t>
      </w:r>
      <w:r w:rsidRPr="009557FC">
        <w:rPr>
          <w:rFonts w:ascii="NewBaskerville-Roman" w:hAnsi="NewBaskerville-Roman" w:cs="NewBaskerville-Roman"/>
          <w:color w:val="000000"/>
          <w:sz w:val="20"/>
          <w:szCs w:val="20"/>
        </w:rPr>
        <w:t xml:space="preserve">and </w:t>
      </w:r>
      <w:r w:rsidRPr="009557FC">
        <w:rPr>
          <w:rFonts w:ascii="Courier" w:hAnsi="Courier" w:cs="Courier"/>
          <w:color w:val="00704A"/>
          <w:sz w:val="20"/>
          <w:szCs w:val="20"/>
        </w:rPr>
        <w:t xml:space="preserve">not </w:t>
      </w:r>
      <w:r w:rsidRPr="009557FC">
        <w:rPr>
          <w:rFonts w:ascii="NewBaskerville-Roman" w:hAnsi="NewBaskerville-Roman" w:cs="NewBaskerville-Roman"/>
          <w:color w:val="000000"/>
          <w:sz w:val="20"/>
          <w:szCs w:val="20"/>
        </w:rPr>
        <w:t xml:space="preserve">can be used in place of </w:t>
      </w:r>
      <w:r w:rsidRPr="009557FC">
        <w:rPr>
          <w:rFonts w:ascii="Courier" w:hAnsi="Courier" w:cs="Courier"/>
          <w:color w:val="00704A"/>
          <w:sz w:val="20"/>
          <w:szCs w:val="20"/>
        </w:rPr>
        <w:t xml:space="preserve">|| </w:t>
      </w:r>
      <w:r w:rsidRPr="009557FC">
        <w:rPr>
          <w:rFonts w:ascii="NewBaskerville-Roman" w:hAnsi="NewBaskerville-Roman" w:cs="NewBaskerville-Roman"/>
          <w:color w:val="000000"/>
          <w:sz w:val="20"/>
          <w:szCs w:val="20"/>
        </w:rPr>
        <w:t xml:space="preserve">and </w:t>
      </w:r>
      <w:r w:rsidRPr="009557FC">
        <w:rPr>
          <w:rFonts w:ascii="Courier" w:hAnsi="Courier" w:cs="Courier"/>
          <w:color w:val="00704A"/>
          <w:sz w:val="20"/>
          <w:szCs w:val="20"/>
        </w:rPr>
        <w:t>!</w:t>
      </w:r>
      <w:r w:rsidRPr="009557FC">
        <w:rPr>
          <w:rFonts w:ascii="NewBaskerville-Roman" w:hAnsi="NewBaskerville-Roman" w:cs="NewBaskerville-Roman"/>
          <w:color w:val="000000"/>
          <w:sz w:val="20"/>
          <w:szCs w:val="20"/>
        </w:rPr>
        <w:t>, respectively.</w:t>
      </w:r>
    </w:p>
    <w:p w:rsidR="00273E7D" w:rsidRDefault="00273E7D" w:rsidP="00273E7D">
      <w:pPr>
        <w:autoSpaceDE w:val="0"/>
        <w:autoSpaceDN w:val="0"/>
        <w:adjustRightInd w:val="0"/>
        <w:spacing w:after="0" w:line="240" w:lineRule="auto"/>
        <w:rPr>
          <w:rFonts w:ascii="FranklinGothic-DemiItal" w:hAnsi="FranklinGothic-DemiItal" w:cs="FranklinGothic-DemiItal"/>
          <w:b/>
          <w:bCs/>
          <w:i/>
          <w:iCs/>
          <w:color w:val="00704A"/>
          <w:sz w:val="28"/>
          <w:szCs w:val="28"/>
        </w:rPr>
      </w:pPr>
      <w:r w:rsidRPr="00273E7D">
        <w:rPr>
          <w:rFonts w:ascii="FranklinGothic-DemiItal" w:hAnsi="FranklinGothic-DemiItal" w:cs="FranklinGothic-DemiItal"/>
          <w:b/>
          <w:bCs/>
          <w:i/>
          <w:iCs/>
          <w:color w:val="00704A"/>
          <w:sz w:val="28"/>
          <w:szCs w:val="28"/>
        </w:rPr>
        <w:lastRenderedPageBreak/>
        <w:t>Selecting beans in pointcuts</w:t>
      </w:r>
    </w:p>
    <w:p w:rsidR="00336618" w:rsidRDefault="00336618" w:rsidP="00273E7D">
      <w:pPr>
        <w:autoSpaceDE w:val="0"/>
        <w:autoSpaceDN w:val="0"/>
        <w:adjustRightInd w:val="0"/>
        <w:spacing w:after="0" w:line="240" w:lineRule="auto"/>
        <w:rPr>
          <w:rFonts w:ascii="FranklinGothic-DemiItal" w:hAnsi="FranklinGothic-DemiItal" w:cs="FranklinGothic-DemiItal"/>
          <w:b/>
          <w:bCs/>
          <w:i/>
          <w:iCs/>
          <w:color w:val="00704A"/>
          <w:sz w:val="28"/>
          <w:szCs w:val="28"/>
        </w:rPr>
      </w:pPr>
    </w:p>
    <w:p w:rsidR="00273E7D" w:rsidRPr="00564DDD" w:rsidRDefault="00336618" w:rsidP="00471837">
      <w:pPr>
        <w:pStyle w:val="ListParagraph"/>
        <w:numPr>
          <w:ilvl w:val="0"/>
          <w:numId w:val="2"/>
        </w:numPr>
        <w:autoSpaceDE w:val="0"/>
        <w:autoSpaceDN w:val="0"/>
        <w:adjustRightInd w:val="0"/>
        <w:spacing w:after="0" w:line="240" w:lineRule="auto"/>
      </w:pPr>
      <w:r w:rsidRPr="00564DDD">
        <w:rPr>
          <w:rFonts w:cs="NewBaskerville-Roman"/>
        </w:rPr>
        <w:t>In addition to the designators listed in table</w:t>
      </w:r>
      <w:r w:rsidR="00471837" w:rsidRPr="00564DDD">
        <w:rPr>
          <w:rFonts w:cs="NewBaskerville-Roman"/>
        </w:rPr>
        <w:t xml:space="preserve">, </w:t>
      </w:r>
      <w:r w:rsidR="00471837" w:rsidRPr="00564DDD">
        <w:rPr>
          <w:rFonts w:cs="NewBaskerville-Roman"/>
          <w:color w:val="000000"/>
        </w:rPr>
        <w:t xml:space="preserve">Spring adds a </w:t>
      </w:r>
      <w:r w:rsidR="007828CC" w:rsidRPr="00564DDD">
        <w:rPr>
          <w:rFonts w:cs="Courier"/>
          <w:color w:val="00704A"/>
        </w:rPr>
        <w:t>bean()</w:t>
      </w:r>
      <w:r w:rsidR="00471837" w:rsidRPr="00564DDD">
        <w:rPr>
          <w:rFonts w:cs="NewBaskerville-Roman"/>
          <w:color w:val="000000"/>
        </w:rPr>
        <w:t>designator that lets you identify beans by their ID in a pointcut expression.</w:t>
      </w:r>
    </w:p>
    <w:p w:rsidR="00587349" w:rsidRPr="00564DDD" w:rsidRDefault="00587349" w:rsidP="00587349">
      <w:pPr>
        <w:pStyle w:val="ListParagraph"/>
        <w:numPr>
          <w:ilvl w:val="0"/>
          <w:numId w:val="2"/>
        </w:numPr>
        <w:autoSpaceDE w:val="0"/>
        <w:autoSpaceDN w:val="0"/>
        <w:adjustRightInd w:val="0"/>
        <w:spacing w:after="0" w:line="240" w:lineRule="auto"/>
      </w:pPr>
      <w:r w:rsidRPr="00564DDD">
        <w:rPr>
          <w:rFonts w:cs="Courier"/>
          <w:color w:val="00704A"/>
        </w:rPr>
        <w:t xml:space="preserve">bean() </w:t>
      </w:r>
      <w:r w:rsidRPr="00564DDD">
        <w:rPr>
          <w:rFonts w:cs="NewBaskerville-Roman"/>
          <w:color w:val="000000"/>
        </w:rPr>
        <w:t>takes a bean ID or name as an argument and limits the pointcut’s effect to that specific bean.</w:t>
      </w:r>
    </w:p>
    <w:p w:rsidR="00E30303" w:rsidRPr="00564DDD" w:rsidRDefault="003305AE" w:rsidP="00E30303">
      <w:pPr>
        <w:pStyle w:val="ListParagraph"/>
        <w:numPr>
          <w:ilvl w:val="0"/>
          <w:numId w:val="2"/>
        </w:numPr>
        <w:autoSpaceDE w:val="0"/>
        <w:autoSpaceDN w:val="0"/>
        <w:adjustRightInd w:val="0"/>
        <w:spacing w:after="0" w:line="240" w:lineRule="auto"/>
        <w:rPr>
          <w:rFonts w:cs="NewBaskerville-Roman"/>
        </w:rPr>
      </w:pPr>
      <w:r w:rsidRPr="00564DDD">
        <w:rPr>
          <w:rFonts w:cs="NewBaskerville-Roman"/>
        </w:rPr>
        <w:t>For example, consider the following pointcut:</w:t>
      </w:r>
    </w:p>
    <w:p w:rsidR="00364E72" w:rsidRPr="00564DDD" w:rsidRDefault="001F489B" w:rsidP="00364E72">
      <w:pPr>
        <w:pStyle w:val="ListParagraph"/>
        <w:autoSpaceDE w:val="0"/>
        <w:autoSpaceDN w:val="0"/>
        <w:adjustRightInd w:val="0"/>
        <w:spacing w:after="0" w:line="240" w:lineRule="auto"/>
        <w:rPr>
          <w:rFonts w:cs="NewBaskerville-Roman"/>
        </w:rPr>
      </w:pPr>
      <w:r w:rsidRPr="00564DDD">
        <w:rPr>
          <w:rFonts w:cs="NewBaskerville-Roman"/>
          <w:noProof/>
        </w:rPr>
        <w:drawing>
          <wp:inline distT="0" distB="0" distL="0" distR="0">
            <wp:extent cx="4709568" cy="556308"/>
            <wp:effectExtent l="19050" t="0" r="0" b="0"/>
            <wp:docPr id="5" name="Picture 4"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9"/>
                    <a:stretch>
                      <a:fillRect/>
                    </a:stretch>
                  </pic:blipFill>
                  <pic:spPr>
                    <a:xfrm>
                      <a:off x="0" y="0"/>
                      <a:ext cx="4709568" cy="556308"/>
                    </a:xfrm>
                    <a:prstGeom prst="rect">
                      <a:avLst/>
                    </a:prstGeom>
                  </pic:spPr>
                </pic:pic>
              </a:graphicData>
            </a:graphic>
          </wp:inline>
        </w:drawing>
      </w:r>
    </w:p>
    <w:p w:rsidR="001F489B" w:rsidRPr="00564DDD" w:rsidRDefault="001658E3" w:rsidP="001658E3">
      <w:pPr>
        <w:pStyle w:val="ListParagraph"/>
        <w:numPr>
          <w:ilvl w:val="0"/>
          <w:numId w:val="3"/>
        </w:numPr>
        <w:autoSpaceDE w:val="0"/>
        <w:autoSpaceDN w:val="0"/>
        <w:adjustRightInd w:val="0"/>
        <w:spacing w:after="0" w:line="240" w:lineRule="auto"/>
        <w:rPr>
          <w:rFonts w:cs="NewBaskerville-Roman"/>
        </w:rPr>
      </w:pPr>
      <w:r w:rsidRPr="00564DDD">
        <w:rPr>
          <w:rFonts w:cs="NewBaskerville-Roman"/>
          <w:color w:val="000000"/>
        </w:rPr>
        <w:t xml:space="preserve">Here you’re saying that you want to apply aspect advice to the execution of </w:t>
      </w:r>
      <w:r w:rsidRPr="00564DDD">
        <w:rPr>
          <w:rFonts w:cs="Courier"/>
          <w:color w:val="00704A"/>
        </w:rPr>
        <w:t>Performance</w:t>
      </w:r>
      <w:r w:rsidRPr="00564DDD">
        <w:rPr>
          <w:rFonts w:cs="NewBaskerville-Roman"/>
          <w:color w:val="000000"/>
        </w:rPr>
        <w:t xml:space="preserve">’s </w:t>
      </w:r>
      <w:r w:rsidRPr="00564DDD">
        <w:rPr>
          <w:rFonts w:cs="Courier"/>
          <w:color w:val="00704A"/>
        </w:rPr>
        <w:t xml:space="preserve">perform() </w:t>
      </w:r>
      <w:r w:rsidRPr="00564DDD">
        <w:rPr>
          <w:rFonts w:cs="NewBaskerville-Roman"/>
          <w:color w:val="000000"/>
        </w:rPr>
        <w:t xml:space="preserve">method, but limited to the bean whose ID is </w:t>
      </w:r>
      <w:r w:rsidRPr="00564DDD">
        <w:rPr>
          <w:rFonts w:cs="Courier"/>
          <w:color w:val="00704A"/>
        </w:rPr>
        <w:t>woodstock</w:t>
      </w:r>
      <w:r w:rsidRPr="00564DDD">
        <w:rPr>
          <w:rFonts w:cs="NewBaskerville-Roman"/>
          <w:color w:val="000000"/>
        </w:rPr>
        <w:t>.</w:t>
      </w:r>
    </w:p>
    <w:p w:rsidR="00564DDD" w:rsidRDefault="00564DDD" w:rsidP="00564DDD">
      <w:pPr>
        <w:pStyle w:val="ListParagraph"/>
        <w:numPr>
          <w:ilvl w:val="0"/>
          <w:numId w:val="2"/>
        </w:numPr>
        <w:autoSpaceDE w:val="0"/>
        <w:autoSpaceDN w:val="0"/>
        <w:adjustRightInd w:val="0"/>
        <w:spacing w:after="0" w:line="240" w:lineRule="auto"/>
        <w:rPr>
          <w:rFonts w:cs="NewBaskerville-Roman"/>
        </w:rPr>
      </w:pPr>
      <w:r w:rsidRPr="00564DDD">
        <w:rPr>
          <w:rFonts w:cs="NewBaskerville-Roman"/>
        </w:rPr>
        <w:t>Narrowing a pointcut to a specific bean may be valuable in some cases, but you can also use negation to apply an aspect to all beans that don’t have a specific ID:</w:t>
      </w:r>
      <w:r>
        <w:rPr>
          <w:rFonts w:cs="NewBaskerville-Roman"/>
        </w:rPr>
        <w:t xml:space="preserve"> </w:t>
      </w:r>
    </w:p>
    <w:p w:rsidR="00AF5C37" w:rsidRDefault="00AF5C37" w:rsidP="00AF5C37">
      <w:pPr>
        <w:pStyle w:val="ListParagraph"/>
        <w:autoSpaceDE w:val="0"/>
        <w:autoSpaceDN w:val="0"/>
        <w:adjustRightInd w:val="0"/>
        <w:spacing w:after="0" w:line="240" w:lineRule="auto"/>
        <w:rPr>
          <w:rFonts w:cs="NewBaskerville-Roman"/>
        </w:rPr>
      </w:pPr>
      <w:r>
        <w:rPr>
          <w:rFonts w:cs="NewBaskerville-Roman"/>
          <w:noProof/>
        </w:rPr>
        <w:drawing>
          <wp:inline distT="0" distB="0" distL="0" distR="0">
            <wp:extent cx="5925377" cy="571580"/>
            <wp:effectExtent l="19050" t="0" r="0" b="0"/>
            <wp:docPr id="6" name="Picture 5"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10"/>
                    <a:stretch>
                      <a:fillRect/>
                    </a:stretch>
                  </pic:blipFill>
                  <pic:spPr>
                    <a:xfrm>
                      <a:off x="0" y="0"/>
                      <a:ext cx="5925377" cy="571580"/>
                    </a:xfrm>
                    <a:prstGeom prst="rect">
                      <a:avLst/>
                    </a:prstGeom>
                  </pic:spPr>
                </pic:pic>
              </a:graphicData>
            </a:graphic>
          </wp:inline>
        </w:drawing>
      </w:r>
    </w:p>
    <w:p w:rsidR="00AF5C37" w:rsidRPr="00F47E0F" w:rsidRDefault="00AF5C37" w:rsidP="00AF5C37">
      <w:pPr>
        <w:pStyle w:val="ListParagraph"/>
        <w:numPr>
          <w:ilvl w:val="0"/>
          <w:numId w:val="2"/>
        </w:numPr>
        <w:autoSpaceDE w:val="0"/>
        <w:autoSpaceDN w:val="0"/>
        <w:adjustRightInd w:val="0"/>
        <w:spacing w:after="0" w:line="240" w:lineRule="auto"/>
        <w:rPr>
          <w:rFonts w:cs="NewBaskerville-Roman"/>
        </w:rPr>
      </w:pPr>
      <w:r w:rsidRPr="00F47E0F">
        <w:rPr>
          <w:rFonts w:cs="NewBaskerville-Roman"/>
          <w:color w:val="000000"/>
        </w:rPr>
        <w:t xml:space="preserve">In this case, the aspect’s advice will be woven into all beans whose ID isn’t </w:t>
      </w:r>
      <w:r w:rsidRPr="00F47E0F">
        <w:rPr>
          <w:rFonts w:cs="Courier"/>
          <w:color w:val="00704A"/>
        </w:rPr>
        <w:t>woodstock</w:t>
      </w:r>
      <w:r w:rsidRPr="00F47E0F">
        <w:rPr>
          <w:rFonts w:cs="NewBaskerville-Roman"/>
          <w:color w:val="000000"/>
        </w:rPr>
        <w:t>.</w:t>
      </w:r>
    </w:p>
    <w:sectPr w:rsidR="00AF5C37" w:rsidRPr="00F47E0F" w:rsidSect="000609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ewBaskerville-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Gothic-DemiIt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62C2C"/>
    <w:multiLevelType w:val="hybridMultilevel"/>
    <w:tmpl w:val="ED8CC412"/>
    <w:lvl w:ilvl="0" w:tplc="D5E4034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865E3"/>
    <w:multiLevelType w:val="hybridMultilevel"/>
    <w:tmpl w:val="97CAC1EC"/>
    <w:lvl w:ilvl="0" w:tplc="B1407ECA">
      <w:numFmt w:val="bullet"/>
      <w:lvlText w:val=""/>
      <w:lvlJc w:val="left"/>
      <w:pPr>
        <w:ind w:left="720" w:hanging="360"/>
      </w:pPr>
      <w:rPr>
        <w:rFonts w:ascii="Wingdings" w:eastAsiaTheme="minorEastAsia" w:hAnsi="Wingdings" w:cs="NewBaskerville-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BA6763"/>
    <w:multiLevelType w:val="hybridMultilevel"/>
    <w:tmpl w:val="3A06498C"/>
    <w:lvl w:ilvl="0" w:tplc="2A5691DC">
      <w:numFmt w:val="bullet"/>
      <w:lvlText w:val="-"/>
      <w:lvlJc w:val="left"/>
      <w:pPr>
        <w:ind w:left="1800" w:hanging="360"/>
      </w:pPr>
      <w:rPr>
        <w:rFonts w:ascii="NewBaskerville-Roman" w:eastAsiaTheme="minorEastAsia" w:hAnsi="NewBaskerville-Roman" w:cs="NewBaskerville-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D7C45"/>
    <w:rsid w:val="00004A46"/>
    <w:rsid w:val="000371CA"/>
    <w:rsid w:val="000428EC"/>
    <w:rsid w:val="00043DA8"/>
    <w:rsid w:val="000466CD"/>
    <w:rsid w:val="0006094A"/>
    <w:rsid w:val="00121655"/>
    <w:rsid w:val="001276C6"/>
    <w:rsid w:val="00144F65"/>
    <w:rsid w:val="001658E3"/>
    <w:rsid w:val="001C6824"/>
    <w:rsid w:val="001E7902"/>
    <w:rsid w:val="001F489B"/>
    <w:rsid w:val="00220017"/>
    <w:rsid w:val="00245C0D"/>
    <w:rsid w:val="00273E7D"/>
    <w:rsid w:val="00295812"/>
    <w:rsid w:val="00326B79"/>
    <w:rsid w:val="003305AE"/>
    <w:rsid w:val="00336618"/>
    <w:rsid w:val="003576BD"/>
    <w:rsid w:val="00364E72"/>
    <w:rsid w:val="003C4E8E"/>
    <w:rsid w:val="00454FD7"/>
    <w:rsid w:val="00471837"/>
    <w:rsid w:val="00477C06"/>
    <w:rsid w:val="00564DDD"/>
    <w:rsid w:val="00587349"/>
    <w:rsid w:val="005E2EB0"/>
    <w:rsid w:val="007828CC"/>
    <w:rsid w:val="009828F2"/>
    <w:rsid w:val="00AA6B15"/>
    <w:rsid w:val="00AF5C37"/>
    <w:rsid w:val="00BD7C45"/>
    <w:rsid w:val="00D86B30"/>
    <w:rsid w:val="00E30303"/>
    <w:rsid w:val="00E8134F"/>
    <w:rsid w:val="00E95C9E"/>
    <w:rsid w:val="00E96EFD"/>
    <w:rsid w:val="00ED3868"/>
    <w:rsid w:val="00F47E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9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E8E"/>
    <w:pPr>
      <w:ind w:left="720"/>
      <w:contextualSpacing/>
    </w:pPr>
  </w:style>
  <w:style w:type="paragraph" w:styleId="BalloonText">
    <w:name w:val="Balloon Text"/>
    <w:basedOn w:val="Normal"/>
    <w:link w:val="BalloonTextChar"/>
    <w:uiPriority w:val="99"/>
    <w:semiHidden/>
    <w:unhideWhenUsed/>
    <w:rsid w:val="00004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A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58</cp:revision>
  <dcterms:created xsi:type="dcterms:W3CDTF">2017-08-13T17:11:00Z</dcterms:created>
  <dcterms:modified xsi:type="dcterms:W3CDTF">2017-10-30T05:35:00Z</dcterms:modified>
</cp:coreProperties>
</file>