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30" w:rsidRDefault="000C1FC8">
      <w:pPr>
        <w:rPr>
          <w:rFonts w:ascii="FranklinGothic-DemiItal" w:hAnsi="FranklinGothic-DemiItal" w:cs="FranklinGothic-DemiItal"/>
          <w:b/>
          <w:bCs/>
          <w:i/>
          <w:iCs/>
          <w:color w:val="00704A"/>
          <w:sz w:val="28"/>
          <w:szCs w:val="28"/>
        </w:rPr>
      </w:pPr>
      <w:r w:rsidRPr="000C1FC8">
        <w:rPr>
          <w:rFonts w:ascii="FranklinGothic-DemiItal" w:hAnsi="FranklinGothic-DemiItal" w:cs="FranklinGothic-DemiItal"/>
          <w:b/>
          <w:bCs/>
          <w:i/>
          <w:iCs/>
          <w:color w:val="00704A"/>
          <w:sz w:val="28"/>
          <w:szCs w:val="28"/>
        </w:rPr>
        <w:t>Accepting request input</w:t>
      </w:r>
    </w:p>
    <w:p w:rsidR="000C1FC8" w:rsidRPr="00BC3142" w:rsidRDefault="000C1FC8" w:rsidP="000C1FC8">
      <w:pPr>
        <w:pStyle w:val="ListParagraph"/>
        <w:numPr>
          <w:ilvl w:val="0"/>
          <w:numId w:val="1"/>
        </w:numPr>
        <w:autoSpaceDE w:val="0"/>
        <w:autoSpaceDN w:val="0"/>
        <w:adjustRightInd w:val="0"/>
        <w:spacing w:after="0" w:line="240" w:lineRule="auto"/>
      </w:pPr>
      <w:r w:rsidRPr="00BC3142">
        <w:rPr>
          <w:rFonts w:cs="NewBaskerville-Roman"/>
        </w:rPr>
        <w:t>Some web applications are read-only. Humans poke about on the website in their web browser, reading whatever content the server sends to the browser. The good news is that it doesn’t have to be that way. Many web applications give the user an opportunity to chime in and send data back to the server. Without this capability, the web would be a very different place.</w:t>
      </w:r>
    </w:p>
    <w:p w:rsidR="007E3282" w:rsidRPr="007E3282" w:rsidRDefault="007E3282" w:rsidP="007E3282">
      <w:pPr>
        <w:pStyle w:val="ListParagraph"/>
        <w:numPr>
          <w:ilvl w:val="0"/>
          <w:numId w:val="1"/>
        </w:numPr>
        <w:autoSpaceDE w:val="0"/>
        <w:autoSpaceDN w:val="0"/>
        <w:adjustRightInd w:val="0"/>
        <w:spacing w:after="0" w:line="240" w:lineRule="auto"/>
        <w:rPr>
          <w:rFonts w:cs="NewBaskerville-Roman"/>
          <w:color w:val="000000"/>
        </w:rPr>
      </w:pPr>
      <w:r w:rsidRPr="007E3282">
        <w:rPr>
          <w:rFonts w:cs="NewBaskerville-Roman"/>
          <w:color w:val="000000"/>
        </w:rPr>
        <w:t>Spring MVC provides several ways that a client can pass data into a controller’s handler method. These include</w:t>
      </w:r>
    </w:p>
    <w:p w:rsidR="007E3282" w:rsidRPr="007E3282" w:rsidRDefault="007E3282" w:rsidP="007E3282">
      <w:pPr>
        <w:pStyle w:val="ListParagraph"/>
        <w:autoSpaceDE w:val="0"/>
        <w:autoSpaceDN w:val="0"/>
        <w:adjustRightInd w:val="0"/>
        <w:spacing w:after="0" w:line="240" w:lineRule="auto"/>
        <w:rPr>
          <w:rFonts w:cs="NewBaskerville-Roman"/>
          <w:color w:val="000000"/>
        </w:rPr>
      </w:pPr>
      <w:r>
        <w:rPr>
          <w:rFonts w:eastAsia="Wingdings2" w:cs="Wingdings2"/>
          <w:color w:val="AE6F30"/>
        </w:rPr>
        <w:t>-</w:t>
      </w:r>
      <w:r w:rsidRPr="007E3282">
        <w:rPr>
          <w:rFonts w:eastAsia="Wingdings2" w:cs="Wingdings2"/>
          <w:color w:val="AE6F30"/>
        </w:rPr>
        <w:t xml:space="preserve"> </w:t>
      </w:r>
      <w:r w:rsidRPr="007E3282">
        <w:rPr>
          <w:rFonts w:cs="NewBaskerville-Roman"/>
          <w:color w:val="000000"/>
        </w:rPr>
        <w:t>Query parameters</w:t>
      </w:r>
    </w:p>
    <w:p w:rsidR="007E3282" w:rsidRPr="007E3282" w:rsidRDefault="007E3282" w:rsidP="007E3282">
      <w:pPr>
        <w:pStyle w:val="ListParagraph"/>
        <w:autoSpaceDE w:val="0"/>
        <w:autoSpaceDN w:val="0"/>
        <w:adjustRightInd w:val="0"/>
        <w:spacing w:after="0" w:line="240" w:lineRule="auto"/>
        <w:rPr>
          <w:rFonts w:cs="NewBaskerville-Roman"/>
          <w:color w:val="000000"/>
        </w:rPr>
      </w:pPr>
      <w:r>
        <w:rPr>
          <w:rFonts w:eastAsia="Wingdings2" w:cs="Wingdings2"/>
          <w:color w:val="AE6F30"/>
        </w:rPr>
        <w:t xml:space="preserve">- </w:t>
      </w:r>
      <w:r w:rsidRPr="007E3282">
        <w:rPr>
          <w:rFonts w:cs="NewBaskerville-Roman"/>
          <w:color w:val="000000"/>
        </w:rPr>
        <w:t>Form parameters</w:t>
      </w:r>
    </w:p>
    <w:p w:rsidR="002506BC" w:rsidRDefault="007E3282" w:rsidP="007E3282">
      <w:pPr>
        <w:pStyle w:val="ListParagraph"/>
        <w:autoSpaceDE w:val="0"/>
        <w:autoSpaceDN w:val="0"/>
        <w:adjustRightInd w:val="0"/>
        <w:spacing w:after="0" w:line="240" w:lineRule="auto"/>
        <w:rPr>
          <w:rFonts w:cs="NewBaskerville-Roman"/>
          <w:color w:val="000000"/>
        </w:rPr>
      </w:pPr>
      <w:r>
        <w:rPr>
          <w:rFonts w:eastAsia="Arial Unicode MS" w:cs="Arial Unicode MS"/>
          <w:color w:val="AE6F30"/>
        </w:rPr>
        <w:t xml:space="preserve">- </w:t>
      </w:r>
      <w:r w:rsidRPr="007E3282">
        <w:rPr>
          <w:rFonts w:cs="NewBaskerville-Roman"/>
          <w:color w:val="000000"/>
        </w:rPr>
        <w:t>Path variables</w:t>
      </w:r>
    </w:p>
    <w:p w:rsidR="007B5D31" w:rsidRDefault="007B5D31" w:rsidP="007B5D31">
      <w:pPr>
        <w:autoSpaceDE w:val="0"/>
        <w:autoSpaceDN w:val="0"/>
        <w:adjustRightInd w:val="0"/>
        <w:spacing w:after="0" w:line="240" w:lineRule="auto"/>
        <w:rPr>
          <w:rFonts w:cs="NewBaskerville-Roman"/>
          <w:color w:val="000000"/>
        </w:rPr>
      </w:pPr>
    </w:p>
    <w:p w:rsidR="007B5D31" w:rsidRDefault="007B5D31" w:rsidP="007B5D31">
      <w:pPr>
        <w:autoSpaceDE w:val="0"/>
        <w:autoSpaceDN w:val="0"/>
        <w:adjustRightInd w:val="0"/>
        <w:spacing w:after="0" w:line="240" w:lineRule="auto"/>
        <w:rPr>
          <w:rFonts w:cs="NewBaskerville-Roman"/>
          <w:color w:val="000000"/>
        </w:rPr>
      </w:pPr>
    </w:p>
    <w:p w:rsidR="007B5D31" w:rsidRDefault="007B5D31" w:rsidP="007B5D31">
      <w:pPr>
        <w:autoSpaceDE w:val="0"/>
        <w:autoSpaceDN w:val="0"/>
        <w:adjustRightInd w:val="0"/>
        <w:spacing w:after="0" w:line="240" w:lineRule="auto"/>
        <w:rPr>
          <w:rFonts w:ascii="FranklinGothic-DemiItal" w:hAnsi="FranklinGothic-DemiItal" w:cs="FranklinGothic-DemiItal"/>
          <w:b/>
          <w:bCs/>
          <w:i/>
          <w:iCs/>
          <w:color w:val="00704A"/>
          <w:sz w:val="25"/>
          <w:szCs w:val="21"/>
        </w:rPr>
      </w:pPr>
      <w:r w:rsidRPr="007B5D31">
        <w:rPr>
          <w:rFonts w:ascii="FranklinGothic-DemiItal" w:hAnsi="FranklinGothic-DemiItal" w:cs="FranklinGothic-DemiItal"/>
          <w:b/>
          <w:bCs/>
          <w:i/>
          <w:iCs/>
          <w:color w:val="00704A"/>
          <w:sz w:val="25"/>
          <w:szCs w:val="21"/>
        </w:rPr>
        <w:t>Taking query parameters</w:t>
      </w:r>
    </w:p>
    <w:p w:rsidR="007B5D31" w:rsidRPr="00F717BE" w:rsidRDefault="007B5D31" w:rsidP="007B5D31">
      <w:pPr>
        <w:autoSpaceDE w:val="0"/>
        <w:autoSpaceDN w:val="0"/>
        <w:adjustRightInd w:val="0"/>
        <w:spacing w:after="0" w:line="240" w:lineRule="auto"/>
        <w:rPr>
          <w:rFonts w:ascii="FranklinGothic-DemiItal" w:hAnsi="FranklinGothic-DemiItal" w:cs="FranklinGothic-DemiItal"/>
          <w:b/>
          <w:bCs/>
          <w:iCs/>
          <w:color w:val="00704A"/>
          <w:sz w:val="25"/>
          <w:szCs w:val="21"/>
        </w:rPr>
      </w:pPr>
    </w:p>
    <w:p w:rsidR="007B5D31" w:rsidRPr="007B5D31" w:rsidRDefault="007B5D31" w:rsidP="007B5D31">
      <w:pPr>
        <w:autoSpaceDE w:val="0"/>
        <w:autoSpaceDN w:val="0"/>
        <w:adjustRightInd w:val="0"/>
        <w:spacing w:after="0" w:line="240" w:lineRule="auto"/>
        <w:rPr>
          <w:rFonts w:cs="FranklinGothic-DemiItal"/>
          <w:b/>
          <w:bCs/>
          <w:iCs/>
          <w:color w:val="00704A"/>
        </w:rPr>
      </w:pPr>
      <w:r w:rsidRPr="007B5D31">
        <w:rPr>
          <w:rFonts w:cs="NewBaskerville-Roman"/>
        </w:rPr>
        <w:t xml:space="preserve">One thing that your Spittr application will need to do is display a paged list of spittles. As it is, </w:t>
      </w:r>
      <w:r w:rsidR="00CC0E83">
        <w:rPr>
          <w:rFonts w:ascii="Courier" w:hAnsi="Courier" w:cs="Courier"/>
          <w:sz w:val="19"/>
          <w:szCs w:val="19"/>
        </w:rPr>
        <w:t>SpittleController</w:t>
      </w:r>
      <w:r w:rsidRPr="007B5D31">
        <w:rPr>
          <w:rFonts w:cs="Courier"/>
        </w:rPr>
        <w:t xml:space="preserve"> </w:t>
      </w:r>
      <w:r w:rsidRPr="007B5D31">
        <w:rPr>
          <w:rFonts w:cs="NewBaskerville-Roman"/>
        </w:rPr>
        <w:t>only displays the most recent spittles; it offers no way to page back through the history of the spittles that have been written. If you’re going to let users go through spittle history a page at a time, you’ll need to offer a way for them to pass in parameters that determine which set of spittles to display.</w:t>
      </w:r>
    </w:p>
    <w:p w:rsidR="007B5D31" w:rsidRDefault="007B5D31" w:rsidP="007B5D31">
      <w:pPr>
        <w:autoSpaceDE w:val="0"/>
        <w:autoSpaceDN w:val="0"/>
        <w:adjustRightInd w:val="0"/>
        <w:spacing w:after="0" w:line="240" w:lineRule="auto"/>
        <w:rPr>
          <w:rFonts w:cs="NewBaskerville-Roman"/>
          <w:color w:val="000000"/>
        </w:rPr>
      </w:pPr>
    </w:p>
    <w:p w:rsidR="007B4266" w:rsidRPr="007B4266" w:rsidRDefault="007B4266" w:rsidP="007B4266">
      <w:pPr>
        <w:autoSpaceDE w:val="0"/>
        <w:autoSpaceDN w:val="0"/>
        <w:adjustRightInd w:val="0"/>
        <w:spacing w:after="0" w:line="240" w:lineRule="auto"/>
        <w:rPr>
          <w:rFonts w:cs="NewBaskerville-Roman"/>
          <w:color w:val="000000"/>
        </w:rPr>
      </w:pPr>
      <w:r w:rsidRPr="007B4266">
        <w:rPr>
          <w:rFonts w:cs="NewBaskerville-Roman"/>
        </w:rPr>
        <w:t xml:space="preserve">In deciding how to do this, consider that if you’re viewing a page of spittles, it’s ordered with the most recent spittle first. Therefore, the first spittle on the next page should have an ID that is </w:t>
      </w:r>
      <w:r w:rsidRPr="007B4266">
        <w:rPr>
          <w:rFonts w:cs="NewBaskerville-Italic"/>
          <w:i/>
          <w:iCs/>
        </w:rPr>
        <w:t xml:space="preserve">before </w:t>
      </w:r>
      <w:r w:rsidRPr="007B4266">
        <w:rPr>
          <w:rFonts w:cs="NewBaskerville-Roman"/>
        </w:rPr>
        <w:t>the ID of the last spittle on the current page. So, in order to display the next page of spittles, you should be able to pass in a spittle ID that is just less than the ID of the last spittle on the current page. You can also pass in a parameter saying how many spittles to display.</w:t>
      </w:r>
    </w:p>
    <w:p w:rsidR="00BC3142" w:rsidRDefault="00BC3142" w:rsidP="00BC3142">
      <w:pPr>
        <w:autoSpaceDE w:val="0"/>
        <w:autoSpaceDN w:val="0"/>
        <w:adjustRightInd w:val="0"/>
        <w:spacing w:after="0" w:line="240" w:lineRule="auto"/>
      </w:pPr>
    </w:p>
    <w:p w:rsidR="007B4266" w:rsidRPr="007B4266" w:rsidRDefault="007B4266" w:rsidP="007B4266">
      <w:pPr>
        <w:autoSpaceDE w:val="0"/>
        <w:autoSpaceDN w:val="0"/>
        <w:adjustRightInd w:val="0"/>
        <w:spacing w:after="0" w:line="240" w:lineRule="auto"/>
        <w:rPr>
          <w:rFonts w:cs="NewBaskerville-Roman"/>
          <w:color w:val="000000"/>
        </w:rPr>
      </w:pPr>
      <w:r w:rsidRPr="007B4266">
        <w:rPr>
          <w:rFonts w:cs="NewBaskerville-Roman"/>
          <w:color w:val="000000"/>
        </w:rPr>
        <w:t>To implement this paging solution, you’ll need to write a handler method that accepts the following:</w:t>
      </w:r>
    </w:p>
    <w:p w:rsidR="007B4266" w:rsidRPr="007B4266" w:rsidRDefault="007B4266" w:rsidP="007B4266">
      <w:pPr>
        <w:autoSpaceDE w:val="0"/>
        <w:autoSpaceDN w:val="0"/>
        <w:adjustRightInd w:val="0"/>
        <w:spacing w:after="0" w:line="240" w:lineRule="auto"/>
        <w:rPr>
          <w:rFonts w:cs="NewBaskerville-Roman"/>
          <w:color w:val="000000"/>
        </w:rPr>
      </w:pPr>
      <w:r>
        <w:rPr>
          <w:rFonts w:ascii="Arial Unicode MS" w:eastAsia="Arial Unicode MS" w:hAnsi="Arial Unicode MS" w:cs="Arial Unicode MS" w:hint="eastAsia"/>
          <w:color w:val="AE6F30"/>
          <w:sz w:val="17"/>
          <w:szCs w:val="17"/>
        </w:rPr>
        <w:t></w:t>
      </w:r>
      <w:r>
        <w:rPr>
          <w:rFonts w:ascii="Wingdings2" w:eastAsia="Wingdings2" w:hAnsi="NewBaskerville-Roman" w:cs="Wingdings2"/>
          <w:color w:val="AE6F30"/>
          <w:sz w:val="17"/>
          <w:szCs w:val="17"/>
        </w:rPr>
        <w:t xml:space="preserve"> </w:t>
      </w:r>
      <w:r w:rsidRPr="007B4266">
        <w:rPr>
          <w:rFonts w:cs="NewBaskerville-Roman"/>
          <w:color w:val="000000"/>
        </w:rPr>
        <w:t>A</w:t>
      </w:r>
      <w:r>
        <w:rPr>
          <w:rFonts w:ascii="NewBaskerville-Roman" w:hAnsi="NewBaskerville-Roman" w:cs="NewBaskerville-Roman"/>
          <w:color w:val="000000"/>
          <w:sz w:val="20"/>
          <w:szCs w:val="20"/>
        </w:rPr>
        <w:t xml:space="preserve"> </w:t>
      </w:r>
      <w:r>
        <w:rPr>
          <w:rFonts w:ascii="Courier" w:hAnsi="Courier" w:cs="Courier"/>
          <w:color w:val="000000"/>
          <w:sz w:val="19"/>
          <w:szCs w:val="19"/>
        </w:rPr>
        <w:t xml:space="preserve">before </w:t>
      </w:r>
      <w:r w:rsidRPr="007B4266">
        <w:rPr>
          <w:rFonts w:cs="NewBaskerville-Roman"/>
          <w:color w:val="000000"/>
        </w:rPr>
        <w:t xml:space="preserve">parameter (which indicates the ID of the </w:t>
      </w:r>
      <w:r w:rsidRPr="007B4266">
        <w:rPr>
          <w:rFonts w:cs="Courier"/>
          <w:color w:val="000000"/>
        </w:rPr>
        <w:t xml:space="preserve">Spittle </w:t>
      </w:r>
      <w:r w:rsidRPr="007B4266">
        <w:rPr>
          <w:rFonts w:cs="NewBaskerville-Roman"/>
          <w:color w:val="000000"/>
        </w:rPr>
        <w:t xml:space="preserve">that all </w:t>
      </w:r>
      <w:r w:rsidRPr="007B4266">
        <w:rPr>
          <w:rFonts w:cs="Courier"/>
          <w:color w:val="000000"/>
        </w:rPr>
        <w:t xml:space="preserve">Spittle </w:t>
      </w:r>
      <w:r w:rsidRPr="007B4266">
        <w:rPr>
          <w:rFonts w:cs="NewBaskerville-Roman"/>
          <w:color w:val="000000"/>
        </w:rPr>
        <w:t>objects in the results are                                   before)</w:t>
      </w:r>
    </w:p>
    <w:p w:rsidR="007B4266" w:rsidRDefault="007B4266" w:rsidP="007B4266">
      <w:pPr>
        <w:autoSpaceDE w:val="0"/>
        <w:autoSpaceDN w:val="0"/>
        <w:adjustRightInd w:val="0"/>
        <w:spacing w:after="0" w:line="240" w:lineRule="auto"/>
        <w:rPr>
          <w:rFonts w:ascii="NewBaskerville-Roman" w:hAnsi="NewBaskerville-Roman" w:cs="NewBaskerville-Roman"/>
          <w:color w:val="000000"/>
          <w:sz w:val="20"/>
          <w:szCs w:val="20"/>
        </w:rPr>
      </w:pPr>
      <w:r>
        <w:rPr>
          <w:rFonts w:ascii="Arial Unicode MS" w:eastAsia="Arial Unicode MS" w:hAnsi="Arial Unicode MS" w:cs="Arial Unicode MS" w:hint="eastAsia"/>
          <w:color w:val="AE6F30"/>
          <w:sz w:val="17"/>
          <w:szCs w:val="17"/>
        </w:rPr>
        <w:t></w:t>
      </w:r>
      <w:r>
        <w:rPr>
          <w:rFonts w:ascii="Wingdings2" w:eastAsia="Wingdings2" w:hAnsi="NewBaskerville-Roman" w:cs="Wingdings2"/>
          <w:color w:val="AE6F30"/>
          <w:sz w:val="17"/>
          <w:szCs w:val="17"/>
        </w:rPr>
        <w:t xml:space="preserve"> </w:t>
      </w:r>
      <w:r w:rsidRPr="007B4266">
        <w:rPr>
          <w:rFonts w:cs="NewBaskerville-Roman"/>
          <w:color w:val="000000"/>
        </w:rPr>
        <w:t>A</w:t>
      </w:r>
      <w:r>
        <w:rPr>
          <w:rFonts w:ascii="NewBaskerville-Roman" w:hAnsi="NewBaskerville-Roman" w:cs="NewBaskerville-Roman"/>
          <w:color w:val="000000"/>
          <w:sz w:val="20"/>
          <w:szCs w:val="20"/>
        </w:rPr>
        <w:t xml:space="preserve"> </w:t>
      </w:r>
      <w:r>
        <w:rPr>
          <w:rFonts w:ascii="Courier" w:hAnsi="Courier" w:cs="Courier"/>
          <w:color w:val="000000"/>
          <w:sz w:val="19"/>
          <w:szCs w:val="19"/>
        </w:rPr>
        <w:t xml:space="preserve">count </w:t>
      </w:r>
      <w:r w:rsidRPr="007B4266">
        <w:rPr>
          <w:rFonts w:cs="NewBaskerville-Roman"/>
          <w:color w:val="000000"/>
        </w:rPr>
        <w:t>parameter (which indicates how many spittles to include in the result) To achieve this, let’s replace the</w:t>
      </w:r>
      <w:r>
        <w:rPr>
          <w:rFonts w:ascii="NewBaskerville-Roman" w:hAnsi="NewBaskerville-Roman" w:cs="NewBaskerville-Roman"/>
          <w:color w:val="000000"/>
          <w:sz w:val="20"/>
          <w:szCs w:val="20"/>
        </w:rPr>
        <w:t xml:space="preserve"> </w:t>
      </w:r>
      <w:r>
        <w:rPr>
          <w:rFonts w:ascii="Courier" w:hAnsi="Courier" w:cs="Courier"/>
          <w:color w:val="000000"/>
          <w:sz w:val="19"/>
          <w:szCs w:val="19"/>
        </w:rPr>
        <w:t>spittles()</w:t>
      </w:r>
      <w:r w:rsidRPr="00726B05">
        <w:rPr>
          <w:rFonts w:cs="NewBaskerville-Roman"/>
          <w:color w:val="000000"/>
        </w:rPr>
        <w:t xml:space="preserve">method you created in listing 5.10 with a new </w:t>
      </w:r>
      <w:r w:rsidRPr="00726B05">
        <w:rPr>
          <w:rFonts w:cs="Courier"/>
          <w:color w:val="000000"/>
        </w:rPr>
        <w:t xml:space="preserve">spittles() </w:t>
      </w:r>
      <w:r w:rsidRPr="00726B05">
        <w:rPr>
          <w:rFonts w:cs="NewBaskerville-Roman"/>
          <w:color w:val="000000"/>
        </w:rPr>
        <w:t>method that works with the</w:t>
      </w:r>
      <w:r>
        <w:rPr>
          <w:rFonts w:ascii="NewBaskerville-Roman" w:hAnsi="NewBaskerville-Roman" w:cs="NewBaskerville-Roman"/>
          <w:color w:val="000000"/>
          <w:sz w:val="20"/>
          <w:szCs w:val="20"/>
        </w:rPr>
        <w:t xml:space="preserve"> </w:t>
      </w:r>
      <w:r>
        <w:rPr>
          <w:rFonts w:ascii="Courier" w:hAnsi="Courier" w:cs="Courier"/>
          <w:color w:val="000000"/>
          <w:sz w:val="19"/>
          <w:szCs w:val="19"/>
        </w:rPr>
        <w:t xml:space="preserve">before </w:t>
      </w:r>
      <w:r w:rsidRPr="00726B05">
        <w:rPr>
          <w:rFonts w:cs="NewBaskerville-Roman"/>
          <w:color w:val="000000"/>
        </w:rPr>
        <w:t>and</w:t>
      </w:r>
      <w:r>
        <w:rPr>
          <w:rFonts w:ascii="NewBaskerville-Roman" w:hAnsi="NewBaskerville-Roman" w:cs="NewBaskerville-Roman"/>
          <w:color w:val="000000"/>
          <w:sz w:val="20"/>
          <w:szCs w:val="20"/>
        </w:rPr>
        <w:t xml:space="preserve"> </w:t>
      </w:r>
      <w:r>
        <w:rPr>
          <w:rFonts w:ascii="Courier" w:hAnsi="Courier" w:cs="Courier"/>
          <w:color w:val="000000"/>
          <w:sz w:val="19"/>
          <w:szCs w:val="19"/>
        </w:rPr>
        <w:t xml:space="preserve">count </w:t>
      </w:r>
      <w:r w:rsidRPr="00726B05">
        <w:rPr>
          <w:rFonts w:cs="NewBaskerville-Roman"/>
          <w:color w:val="000000"/>
        </w:rPr>
        <w:t>parameters. You’ll start by adding a test to reflect the functionality you want to see from the new</w:t>
      </w:r>
    </w:p>
    <w:p w:rsidR="007B4266" w:rsidRDefault="007B4266" w:rsidP="007B4266">
      <w:pPr>
        <w:autoSpaceDE w:val="0"/>
        <w:autoSpaceDN w:val="0"/>
        <w:adjustRightInd w:val="0"/>
        <w:spacing w:after="0" w:line="240" w:lineRule="auto"/>
        <w:rPr>
          <w:rFonts w:ascii="NewBaskerville-Roman" w:hAnsi="NewBaskerville-Roman" w:cs="NewBaskerville-Roman"/>
          <w:color w:val="000000"/>
          <w:sz w:val="20"/>
          <w:szCs w:val="20"/>
        </w:rPr>
      </w:pPr>
      <w:r>
        <w:rPr>
          <w:rFonts w:ascii="Courier" w:hAnsi="Courier" w:cs="Courier"/>
          <w:color w:val="000000"/>
          <w:sz w:val="19"/>
          <w:szCs w:val="19"/>
        </w:rPr>
        <w:t>spittles()</w:t>
      </w:r>
      <w:r w:rsidRPr="00726B05">
        <w:rPr>
          <w:rFonts w:cs="NewBaskerville-Roman"/>
          <w:color w:val="000000"/>
        </w:rPr>
        <w:t>method</w:t>
      </w:r>
      <w:r>
        <w:rPr>
          <w:rFonts w:ascii="NewBaskerville-Roman" w:hAnsi="NewBaskerville-Roman" w:cs="NewBaskerville-Roman"/>
          <w:color w:val="000000"/>
          <w:sz w:val="20"/>
          <w:szCs w:val="20"/>
        </w:rPr>
        <w:t>.</w:t>
      </w:r>
    </w:p>
    <w:p w:rsidR="00726B05" w:rsidRDefault="00726B05" w:rsidP="007B4266">
      <w:pPr>
        <w:autoSpaceDE w:val="0"/>
        <w:autoSpaceDN w:val="0"/>
        <w:adjustRightInd w:val="0"/>
        <w:spacing w:after="0" w:line="240" w:lineRule="auto"/>
      </w:pPr>
      <w:r>
        <w:rPr>
          <w:noProof/>
        </w:rPr>
        <w:drawing>
          <wp:inline distT="0" distB="0" distL="0" distR="0">
            <wp:extent cx="3856007" cy="20489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56473" cy="2049181"/>
                    </a:xfrm>
                    <a:prstGeom prst="rect">
                      <a:avLst/>
                    </a:prstGeom>
                    <a:noFill/>
                    <a:ln w="9525">
                      <a:noFill/>
                      <a:miter lim="800000"/>
                      <a:headEnd/>
                      <a:tailEnd/>
                    </a:ln>
                  </pic:spPr>
                </pic:pic>
              </a:graphicData>
            </a:graphic>
          </wp:inline>
        </w:drawing>
      </w:r>
    </w:p>
    <w:p w:rsidR="002959C8" w:rsidRPr="002959C8" w:rsidRDefault="002959C8" w:rsidP="002959C8">
      <w:pPr>
        <w:pStyle w:val="ListParagraph"/>
        <w:numPr>
          <w:ilvl w:val="0"/>
          <w:numId w:val="1"/>
        </w:numPr>
        <w:autoSpaceDE w:val="0"/>
        <w:autoSpaceDN w:val="0"/>
        <w:adjustRightInd w:val="0"/>
        <w:spacing w:after="0" w:line="240" w:lineRule="auto"/>
        <w:rPr>
          <w:b/>
        </w:rPr>
      </w:pPr>
      <w:r w:rsidRPr="002959C8">
        <w:rPr>
          <w:rFonts w:cs="NewBaskerville-Roman"/>
        </w:rPr>
        <w:lastRenderedPageBreak/>
        <w:t xml:space="preserve">The key difference between this test method and the one in listing with no parameter </w:t>
      </w:r>
      <w:r w:rsidRPr="002959C8">
        <w:rPr>
          <w:rFonts w:ascii="Courier New" w:hAnsi="Courier New" w:cs="Courier New"/>
          <w:sz w:val="18"/>
          <w:szCs w:val="18"/>
        </w:rPr>
        <w:t xml:space="preserve">(/spittles) </w:t>
      </w:r>
      <w:r w:rsidRPr="002959C8">
        <w:rPr>
          <w:rFonts w:cs="NewBaskerville-Roman"/>
        </w:rPr>
        <w:t xml:space="preserve">is that it performs a </w:t>
      </w:r>
      <w:r w:rsidRPr="002959C8">
        <w:rPr>
          <w:rFonts w:ascii="Courier New" w:hAnsi="Courier New" w:cs="Courier New"/>
          <w:sz w:val="18"/>
          <w:szCs w:val="18"/>
        </w:rPr>
        <w:t>GET</w:t>
      </w:r>
      <w:r w:rsidRPr="002959C8">
        <w:rPr>
          <w:rFonts w:cs="Courier"/>
        </w:rPr>
        <w:t xml:space="preserve"> </w:t>
      </w:r>
      <w:r w:rsidRPr="002959C8">
        <w:rPr>
          <w:rFonts w:cs="NewBaskerville-Roman"/>
        </w:rPr>
        <w:t xml:space="preserve">request against </w:t>
      </w:r>
      <w:r w:rsidRPr="002959C8">
        <w:rPr>
          <w:rFonts w:ascii="Courier New" w:hAnsi="Courier New" w:cs="Courier New"/>
          <w:sz w:val="18"/>
          <w:szCs w:val="18"/>
        </w:rPr>
        <w:t>/spittles</w:t>
      </w:r>
      <w:r w:rsidRPr="002959C8">
        <w:rPr>
          <w:rFonts w:cs="NewBaskerville-Roman"/>
        </w:rPr>
        <w:t xml:space="preserve">, passing in values for the </w:t>
      </w:r>
      <w:r w:rsidRPr="002959C8">
        <w:rPr>
          <w:rFonts w:cs="Courier"/>
        </w:rPr>
        <w:t xml:space="preserve">max </w:t>
      </w:r>
      <w:r w:rsidRPr="002959C8">
        <w:rPr>
          <w:rFonts w:cs="NewBaskerville-Roman"/>
        </w:rPr>
        <w:t xml:space="preserve">and </w:t>
      </w:r>
      <w:r w:rsidRPr="002959C8">
        <w:rPr>
          <w:rFonts w:cs="Courier"/>
        </w:rPr>
        <w:t xml:space="preserve">count </w:t>
      </w:r>
      <w:r w:rsidRPr="002959C8">
        <w:rPr>
          <w:rFonts w:cs="NewBaskerville-Roman"/>
        </w:rPr>
        <w:t>parameters. This tests the handler method when those parameters are present; the other test method tests for when those parameters are absent. With both tests in place, you can be assured that no matter what changes you make to the controller, it will still be able to handle both kinds of requests:</w:t>
      </w:r>
    </w:p>
    <w:p w:rsidR="00726B05" w:rsidRDefault="002959C8" w:rsidP="002959C8">
      <w:pPr>
        <w:autoSpaceDE w:val="0"/>
        <w:autoSpaceDN w:val="0"/>
        <w:adjustRightInd w:val="0"/>
        <w:spacing w:after="0" w:line="240" w:lineRule="auto"/>
        <w:ind w:left="720"/>
      </w:pPr>
      <w:r>
        <w:rPr>
          <w:noProof/>
        </w:rPr>
        <w:drawing>
          <wp:inline distT="0" distB="0" distL="0" distR="0">
            <wp:extent cx="3200416" cy="8212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02936" cy="821913"/>
                    </a:xfrm>
                    <a:prstGeom prst="rect">
                      <a:avLst/>
                    </a:prstGeom>
                    <a:noFill/>
                    <a:ln w="9525">
                      <a:noFill/>
                      <a:miter lim="800000"/>
                      <a:headEnd/>
                      <a:tailEnd/>
                    </a:ln>
                  </pic:spPr>
                </pic:pic>
              </a:graphicData>
            </a:graphic>
          </wp:inline>
        </w:drawing>
      </w:r>
    </w:p>
    <w:p w:rsidR="00E46F72" w:rsidRPr="004F2BE3" w:rsidRDefault="00A020A8" w:rsidP="004F2BE3">
      <w:pPr>
        <w:pStyle w:val="ListParagraph"/>
        <w:numPr>
          <w:ilvl w:val="0"/>
          <w:numId w:val="1"/>
        </w:numPr>
        <w:autoSpaceDE w:val="0"/>
        <w:autoSpaceDN w:val="0"/>
        <w:adjustRightInd w:val="0"/>
        <w:spacing w:after="0" w:line="240" w:lineRule="auto"/>
        <w:rPr>
          <w:rFonts w:cs="NewBaskerville-Roman"/>
          <w:sz w:val="20"/>
          <w:szCs w:val="20"/>
        </w:rPr>
      </w:pPr>
      <w:r w:rsidRPr="004F2BE3">
        <w:rPr>
          <w:rFonts w:cs="NewBaskerville-Roman"/>
        </w:rPr>
        <w:t xml:space="preserve">If the handler method in </w:t>
      </w:r>
      <w:r w:rsidRPr="004F2BE3">
        <w:rPr>
          <w:rFonts w:ascii="Courier New" w:hAnsi="Courier New" w:cs="Courier New"/>
          <w:sz w:val="18"/>
          <w:szCs w:val="18"/>
        </w:rPr>
        <w:t xml:space="preserve">SpittleController </w:t>
      </w:r>
      <w:r w:rsidRPr="004F2BE3">
        <w:rPr>
          <w:rFonts w:cs="NewBaskerville-Roman"/>
        </w:rPr>
        <w:t xml:space="preserve">is going to handle requests with or without the </w:t>
      </w:r>
      <w:r w:rsidRPr="004F2BE3">
        <w:rPr>
          <w:rFonts w:cs="Courier"/>
        </w:rPr>
        <w:t xml:space="preserve">max </w:t>
      </w:r>
      <w:r w:rsidRPr="004F2BE3">
        <w:rPr>
          <w:rFonts w:cs="NewBaskerville-Roman"/>
        </w:rPr>
        <w:t xml:space="preserve">and </w:t>
      </w:r>
      <w:r w:rsidRPr="004F2BE3">
        <w:rPr>
          <w:rFonts w:cs="Courier"/>
        </w:rPr>
        <w:t xml:space="preserve">count </w:t>
      </w:r>
      <w:r w:rsidRPr="004F2BE3">
        <w:rPr>
          <w:rFonts w:cs="NewBaskerville-Roman"/>
        </w:rPr>
        <w:t>parameters, you’ll need to change it to accept those parameters.</w:t>
      </w:r>
      <w:r w:rsidR="00ED21EC" w:rsidRPr="004F2BE3">
        <w:rPr>
          <w:rFonts w:cs="NewBaskerville-Roman"/>
        </w:rPr>
        <w:t xml:space="preserve"> </w:t>
      </w:r>
      <w:r w:rsidR="00ED21EC" w:rsidRPr="004F2BE3">
        <w:rPr>
          <w:rFonts w:cs="NewBaskerville-Roman"/>
          <w:sz w:val="20"/>
          <w:szCs w:val="20"/>
        </w:rPr>
        <w:t xml:space="preserve">But still default to </w:t>
      </w:r>
      <w:r w:rsidR="00ED21EC" w:rsidRPr="004F2BE3">
        <w:rPr>
          <w:rFonts w:ascii="Courier New" w:hAnsi="Courier New" w:cs="Courier New"/>
          <w:sz w:val="18"/>
          <w:szCs w:val="18"/>
        </w:rPr>
        <w:t>Long.MAX_VALUE</w:t>
      </w:r>
      <w:r w:rsidR="00ED21EC" w:rsidRPr="004F2BE3">
        <w:rPr>
          <w:rFonts w:cs="Courier"/>
          <w:sz w:val="19"/>
          <w:szCs w:val="19"/>
        </w:rPr>
        <w:t xml:space="preserve"> </w:t>
      </w:r>
      <w:r w:rsidR="00ED21EC" w:rsidRPr="004F2BE3">
        <w:rPr>
          <w:rFonts w:cs="NewBaskerville-Roman"/>
          <w:sz w:val="20"/>
          <w:szCs w:val="20"/>
        </w:rPr>
        <w:t xml:space="preserve">and </w:t>
      </w:r>
      <w:r w:rsidR="00ED21EC" w:rsidRPr="004F2BE3">
        <w:rPr>
          <w:rFonts w:cs="Courier"/>
          <w:sz w:val="19"/>
          <w:szCs w:val="19"/>
        </w:rPr>
        <w:t xml:space="preserve">20 </w:t>
      </w:r>
      <w:r w:rsidR="00ED21EC" w:rsidRPr="004F2BE3">
        <w:rPr>
          <w:rFonts w:cs="NewBaskerville-Roman"/>
          <w:sz w:val="20"/>
          <w:szCs w:val="20"/>
        </w:rPr>
        <w:t xml:space="preserve">if those parameters are absent on the request. The </w:t>
      </w:r>
      <w:r w:rsidR="00ED21EC" w:rsidRPr="004F2BE3">
        <w:rPr>
          <w:rFonts w:ascii="Courier New" w:hAnsi="Courier New" w:cs="Courier New"/>
          <w:sz w:val="18"/>
          <w:szCs w:val="18"/>
        </w:rPr>
        <w:t xml:space="preserve">defaultValue </w:t>
      </w:r>
      <w:r w:rsidR="00ED21EC" w:rsidRPr="004F2BE3">
        <w:rPr>
          <w:rFonts w:cs="NewBaskerville-Roman"/>
          <w:sz w:val="20"/>
          <w:szCs w:val="20"/>
        </w:rPr>
        <w:t xml:space="preserve">attribute of </w:t>
      </w:r>
      <w:r w:rsidR="00ED21EC" w:rsidRPr="004F2BE3">
        <w:rPr>
          <w:rFonts w:ascii="Courier New" w:hAnsi="Courier New" w:cs="Courier New"/>
          <w:sz w:val="18"/>
          <w:szCs w:val="18"/>
        </w:rPr>
        <w:t xml:space="preserve">@RequestParam </w:t>
      </w:r>
      <w:r w:rsidR="00ED21EC" w:rsidRPr="004F2BE3">
        <w:rPr>
          <w:rFonts w:cs="NewBaskerville-Roman"/>
          <w:sz w:val="20"/>
          <w:szCs w:val="20"/>
        </w:rPr>
        <w:t>will do the trick:</w:t>
      </w:r>
    </w:p>
    <w:p w:rsidR="004F2BE3" w:rsidRDefault="004F2BE3" w:rsidP="00ED6533">
      <w:pPr>
        <w:autoSpaceDE w:val="0"/>
        <w:autoSpaceDN w:val="0"/>
        <w:adjustRightInd w:val="0"/>
        <w:spacing w:after="0" w:line="240" w:lineRule="auto"/>
        <w:ind w:firstLine="720"/>
      </w:pPr>
      <w:r>
        <w:rPr>
          <w:noProof/>
        </w:rPr>
        <w:drawing>
          <wp:inline distT="0" distB="0" distL="0" distR="0">
            <wp:extent cx="3807883" cy="892442"/>
            <wp:effectExtent l="19050" t="0" r="21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08476" cy="892581"/>
                    </a:xfrm>
                    <a:prstGeom prst="rect">
                      <a:avLst/>
                    </a:prstGeom>
                    <a:noFill/>
                    <a:ln w="9525">
                      <a:noFill/>
                      <a:miter lim="800000"/>
                      <a:headEnd/>
                      <a:tailEnd/>
                    </a:ln>
                  </pic:spPr>
                </pic:pic>
              </a:graphicData>
            </a:graphic>
          </wp:inline>
        </w:drawing>
      </w:r>
    </w:p>
    <w:p w:rsidR="00ED6533" w:rsidRPr="000E0928" w:rsidRDefault="000E0928" w:rsidP="000E0928">
      <w:pPr>
        <w:pStyle w:val="ListParagraph"/>
        <w:numPr>
          <w:ilvl w:val="0"/>
          <w:numId w:val="1"/>
        </w:numPr>
        <w:autoSpaceDE w:val="0"/>
        <w:autoSpaceDN w:val="0"/>
        <w:adjustRightInd w:val="0"/>
        <w:spacing w:after="0" w:line="240" w:lineRule="auto"/>
      </w:pPr>
      <w:r w:rsidRPr="000E0928">
        <w:rPr>
          <w:rFonts w:cs="NewBaskerville-Roman"/>
        </w:rPr>
        <w:t>Now, if the</w:t>
      </w:r>
      <w:r w:rsidRPr="000E0928">
        <w:rPr>
          <w:rFonts w:ascii="NewBaskerville-Roman" w:hAnsi="NewBaskerville-Roman" w:cs="NewBaskerville-Roman"/>
          <w:sz w:val="20"/>
          <w:szCs w:val="20"/>
        </w:rPr>
        <w:t xml:space="preserve"> </w:t>
      </w:r>
      <w:r w:rsidRPr="000E0928">
        <w:rPr>
          <w:rFonts w:ascii="Courier" w:hAnsi="Courier" w:cs="Courier"/>
          <w:sz w:val="19"/>
          <w:szCs w:val="19"/>
        </w:rPr>
        <w:t xml:space="preserve">max </w:t>
      </w:r>
      <w:r w:rsidRPr="000E0928">
        <w:rPr>
          <w:rFonts w:cs="NewBaskerville-Roman"/>
        </w:rPr>
        <w:t>parameter isn’t specified, it will default to the maximum value of</w:t>
      </w:r>
      <w:r w:rsidRPr="000E0928">
        <w:rPr>
          <w:rFonts w:ascii="NewBaskerville-Roman" w:hAnsi="NewBaskerville-Roman" w:cs="NewBaskerville-Roman"/>
          <w:sz w:val="20"/>
          <w:szCs w:val="20"/>
        </w:rPr>
        <w:t xml:space="preserve"> </w:t>
      </w:r>
      <w:r w:rsidRPr="000E0928">
        <w:rPr>
          <w:rFonts w:ascii="Courier" w:hAnsi="Courier" w:cs="Courier"/>
          <w:sz w:val="19"/>
          <w:szCs w:val="19"/>
        </w:rPr>
        <w:t>Long</w:t>
      </w:r>
      <w:r w:rsidRPr="000E0928">
        <w:rPr>
          <w:rFonts w:cs="NewBaskerville-Roman"/>
        </w:rPr>
        <w:t>. Because query</w:t>
      </w:r>
      <w:r w:rsidRPr="000E0928">
        <w:rPr>
          <w:rFonts w:ascii="NewBaskerville-Roman" w:hAnsi="NewBaskerville-Roman" w:cs="NewBaskerville-Roman"/>
          <w:sz w:val="20"/>
          <w:szCs w:val="20"/>
        </w:rPr>
        <w:t xml:space="preserve"> </w:t>
      </w:r>
      <w:r w:rsidRPr="000E0928">
        <w:rPr>
          <w:rFonts w:cs="NewBaskerville-Roman"/>
        </w:rPr>
        <w:t>parameters are always of type</w:t>
      </w:r>
      <w:r w:rsidRPr="000E0928">
        <w:rPr>
          <w:rFonts w:ascii="NewBaskerville-Roman" w:hAnsi="NewBaskerville-Roman" w:cs="NewBaskerville-Roman"/>
          <w:sz w:val="20"/>
          <w:szCs w:val="20"/>
        </w:rPr>
        <w:t xml:space="preserve"> </w:t>
      </w:r>
      <w:r w:rsidRPr="000E0928">
        <w:rPr>
          <w:rFonts w:ascii="Courier" w:hAnsi="Courier" w:cs="Courier"/>
          <w:sz w:val="19"/>
          <w:szCs w:val="19"/>
        </w:rPr>
        <w:t>String</w:t>
      </w:r>
      <w:r w:rsidRPr="000E0928">
        <w:rPr>
          <w:rFonts w:cs="NewBaskerville-Roman"/>
        </w:rPr>
        <w:t>, the</w:t>
      </w:r>
      <w:r w:rsidRPr="000E0928">
        <w:rPr>
          <w:rFonts w:ascii="NewBaskerville-Roman" w:hAnsi="NewBaskerville-Roman" w:cs="NewBaskerville-Roman"/>
          <w:sz w:val="20"/>
          <w:szCs w:val="20"/>
        </w:rPr>
        <w:t xml:space="preserve"> </w:t>
      </w:r>
      <w:r w:rsidRPr="000E0928">
        <w:rPr>
          <w:rFonts w:ascii="Courier" w:hAnsi="Courier" w:cs="Courier"/>
          <w:sz w:val="19"/>
          <w:szCs w:val="19"/>
        </w:rPr>
        <w:t xml:space="preserve">defaultValue </w:t>
      </w:r>
      <w:r w:rsidRPr="000E0928">
        <w:rPr>
          <w:rFonts w:cs="NewBaskerville-Roman"/>
        </w:rPr>
        <w:t>attribute requires a</w:t>
      </w:r>
      <w:r w:rsidRPr="000E0928">
        <w:rPr>
          <w:rFonts w:ascii="NewBaskerville-Roman" w:hAnsi="NewBaskerville-Roman" w:cs="NewBaskerville-Roman"/>
          <w:sz w:val="20"/>
          <w:szCs w:val="20"/>
        </w:rPr>
        <w:t xml:space="preserve"> </w:t>
      </w:r>
      <w:r w:rsidRPr="000E0928">
        <w:rPr>
          <w:rFonts w:ascii="Courier" w:hAnsi="Courier" w:cs="Courier"/>
          <w:sz w:val="19"/>
          <w:szCs w:val="19"/>
        </w:rPr>
        <w:t xml:space="preserve">String </w:t>
      </w:r>
      <w:r w:rsidRPr="000E0928">
        <w:rPr>
          <w:rFonts w:cs="NewBaskerville-Roman"/>
        </w:rPr>
        <w:t>value.</w:t>
      </w:r>
      <w:r w:rsidRPr="000E0928">
        <w:rPr>
          <w:rFonts w:ascii="NewBaskerville-Roman" w:hAnsi="NewBaskerville-Roman" w:cs="NewBaskerville-Roman"/>
          <w:sz w:val="20"/>
          <w:szCs w:val="20"/>
        </w:rPr>
        <w:t xml:space="preserve"> </w:t>
      </w:r>
      <w:r w:rsidRPr="000E0928">
        <w:rPr>
          <w:rFonts w:cs="NewBaskerville-Roman"/>
        </w:rPr>
        <w:t>Therefore,</w:t>
      </w:r>
      <w:r w:rsidRPr="000E0928">
        <w:rPr>
          <w:rFonts w:ascii="NewBaskerville-Roman" w:hAnsi="NewBaskerville-Roman" w:cs="NewBaskerville-Roman"/>
          <w:sz w:val="20"/>
          <w:szCs w:val="20"/>
        </w:rPr>
        <w:t xml:space="preserve"> </w:t>
      </w:r>
      <w:r w:rsidRPr="000E0928">
        <w:rPr>
          <w:rFonts w:ascii="Courier" w:hAnsi="Courier" w:cs="Courier"/>
          <w:sz w:val="19"/>
          <w:szCs w:val="19"/>
        </w:rPr>
        <w:t xml:space="preserve">Long.MAX_VALUE </w:t>
      </w:r>
      <w:r w:rsidRPr="000E0928">
        <w:rPr>
          <w:rFonts w:cs="NewBaskerville-Roman"/>
        </w:rPr>
        <w:t>won’t work. Instead,</w:t>
      </w:r>
      <w:r w:rsidRPr="000E0928">
        <w:rPr>
          <w:rFonts w:ascii="NewBaskerville-Roman" w:hAnsi="NewBaskerville-Roman" w:cs="NewBaskerville-Roman"/>
          <w:sz w:val="20"/>
          <w:szCs w:val="20"/>
        </w:rPr>
        <w:t xml:space="preserve"> </w:t>
      </w:r>
      <w:r w:rsidRPr="000E0928">
        <w:rPr>
          <w:rFonts w:cs="NewBaskerville-Roman"/>
        </w:rPr>
        <w:t>you can capture</w:t>
      </w:r>
      <w:r w:rsidRPr="000E0928">
        <w:rPr>
          <w:rFonts w:ascii="NewBaskerville-Roman" w:hAnsi="NewBaskerville-Roman" w:cs="NewBaskerville-Roman"/>
          <w:sz w:val="20"/>
          <w:szCs w:val="20"/>
        </w:rPr>
        <w:t xml:space="preserve"> </w:t>
      </w:r>
      <w:r w:rsidRPr="000E0928">
        <w:rPr>
          <w:rFonts w:ascii="Courier" w:hAnsi="Courier" w:cs="Courier"/>
          <w:sz w:val="19"/>
          <w:szCs w:val="19"/>
        </w:rPr>
        <w:t xml:space="preserve">Long.MAX_VALUE </w:t>
      </w:r>
      <w:r w:rsidRPr="000E0928">
        <w:rPr>
          <w:rFonts w:cs="NewBaskerville-Roman"/>
        </w:rPr>
        <w:t>in a</w:t>
      </w:r>
      <w:r w:rsidRPr="000E0928">
        <w:rPr>
          <w:rFonts w:ascii="NewBaskerville-Roman" w:hAnsi="NewBaskerville-Roman" w:cs="NewBaskerville-Roman"/>
          <w:sz w:val="20"/>
          <w:szCs w:val="20"/>
        </w:rPr>
        <w:t xml:space="preserve"> </w:t>
      </w:r>
      <w:r w:rsidRPr="000E0928">
        <w:rPr>
          <w:rFonts w:ascii="Courier" w:hAnsi="Courier" w:cs="Courier"/>
          <w:sz w:val="19"/>
          <w:szCs w:val="19"/>
        </w:rPr>
        <w:t xml:space="preserve">String </w:t>
      </w:r>
      <w:r w:rsidRPr="000E0928">
        <w:rPr>
          <w:rFonts w:cs="NewBaskerville-Roman"/>
        </w:rPr>
        <w:t>constant named</w:t>
      </w:r>
      <w:r w:rsidRPr="000E0928">
        <w:rPr>
          <w:rFonts w:ascii="NewBaskerville-Roman" w:hAnsi="NewBaskerville-Roman" w:cs="NewBaskerville-Roman"/>
          <w:sz w:val="20"/>
          <w:szCs w:val="20"/>
        </w:rPr>
        <w:t xml:space="preserve"> </w:t>
      </w:r>
      <w:r w:rsidRPr="000E0928">
        <w:rPr>
          <w:rFonts w:ascii="Courier" w:hAnsi="Courier" w:cs="Courier"/>
          <w:sz w:val="19"/>
          <w:szCs w:val="19"/>
        </w:rPr>
        <w:t>MAX_LONG_AS_STRING</w:t>
      </w:r>
      <w:r w:rsidRPr="000E0928">
        <w:rPr>
          <w:rFonts w:ascii="NewBaskerville-Roman" w:hAnsi="NewBaskerville-Roman" w:cs="NewBaskerville-Roman"/>
          <w:sz w:val="20"/>
          <w:szCs w:val="20"/>
        </w:rPr>
        <w:t>:</w:t>
      </w:r>
    </w:p>
    <w:p w:rsidR="000E0928" w:rsidRDefault="000E0928" w:rsidP="000E0928">
      <w:pPr>
        <w:pStyle w:val="ListParagraph"/>
        <w:autoSpaceDE w:val="0"/>
        <w:autoSpaceDN w:val="0"/>
        <w:adjustRightInd w:val="0"/>
        <w:spacing w:after="0" w:line="240" w:lineRule="auto"/>
      </w:pPr>
      <w:r>
        <w:rPr>
          <w:noProof/>
        </w:rPr>
        <w:drawing>
          <wp:inline distT="0" distB="0" distL="0" distR="0">
            <wp:extent cx="2748058" cy="14816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747080" cy="148113"/>
                    </a:xfrm>
                    <a:prstGeom prst="rect">
                      <a:avLst/>
                    </a:prstGeom>
                    <a:noFill/>
                    <a:ln w="9525">
                      <a:noFill/>
                      <a:miter lim="800000"/>
                      <a:headEnd/>
                      <a:tailEnd/>
                    </a:ln>
                  </pic:spPr>
                </pic:pic>
              </a:graphicData>
            </a:graphic>
          </wp:inline>
        </w:drawing>
      </w:r>
      <w:r>
        <w:rPr>
          <w:noProof/>
        </w:rPr>
        <w:drawing>
          <wp:inline distT="0" distB="0" distL="0" distR="0">
            <wp:extent cx="1809669" cy="148167"/>
            <wp:effectExtent l="19050" t="0" r="8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808864" cy="148101"/>
                    </a:xfrm>
                    <a:prstGeom prst="rect">
                      <a:avLst/>
                    </a:prstGeom>
                    <a:noFill/>
                    <a:ln w="9525">
                      <a:noFill/>
                      <a:miter lim="800000"/>
                      <a:headEnd/>
                      <a:tailEnd/>
                    </a:ln>
                  </pic:spPr>
                </pic:pic>
              </a:graphicData>
            </a:graphic>
          </wp:inline>
        </w:drawing>
      </w:r>
    </w:p>
    <w:p w:rsidR="000E0928" w:rsidRPr="007261F6" w:rsidRDefault="005D3149" w:rsidP="005D3149">
      <w:pPr>
        <w:pStyle w:val="ListParagraph"/>
        <w:numPr>
          <w:ilvl w:val="0"/>
          <w:numId w:val="1"/>
        </w:numPr>
        <w:autoSpaceDE w:val="0"/>
        <w:autoSpaceDN w:val="0"/>
        <w:adjustRightInd w:val="0"/>
        <w:spacing w:after="0" w:line="240" w:lineRule="auto"/>
      </w:pPr>
      <w:r w:rsidRPr="005D3149">
        <w:rPr>
          <w:rFonts w:cs="NewBaskerville-Roman"/>
        </w:rPr>
        <w:t xml:space="preserve">Even though the </w:t>
      </w:r>
      <w:r w:rsidRPr="005D3149">
        <w:rPr>
          <w:rFonts w:ascii="Courier New" w:hAnsi="Courier New" w:cs="Courier New"/>
          <w:sz w:val="18"/>
          <w:szCs w:val="18"/>
        </w:rPr>
        <w:t>defaultValue</w:t>
      </w:r>
      <w:r w:rsidRPr="005D3149">
        <w:rPr>
          <w:rFonts w:cs="Courier"/>
        </w:rPr>
        <w:t xml:space="preserve"> </w:t>
      </w:r>
      <w:r w:rsidRPr="005D3149">
        <w:rPr>
          <w:rFonts w:cs="NewBaskerville-Roman"/>
        </w:rPr>
        <w:t xml:space="preserve">is given as a </w:t>
      </w:r>
      <w:r w:rsidRPr="005D3149">
        <w:rPr>
          <w:rFonts w:ascii="Courier New" w:hAnsi="Courier New" w:cs="Courier New"/>
          <w:sz w:val="18"/>
          <w:szCs w:val="18"/>
        </w:rPr>
        <w:t>String</w:t>
      </w:r>
      <w:r w:rsidRPr="005D3149">
        <w:rPr>
          <w:rFonts w:cs="NewBaskerville-Roman"/>
        </w:rPr>
        <w:t xml:space="preserve">, it will be converted to a </w:t>
      </w:r>
      <w:r w:rsidRPr="005D3149">
        <w:rPr>
          <w:rFonts w:ascii="Courier New" w:hAnsi="Courier New" w:cs="Courier New"/>
          <w:sz w:val="18"/>
          <w:szCs w:val="18"/>
        </w:rPr>
        <w:t>Long</w:t>
      </w:r>
      <w:r w:rsidRPr="005D3149">
        <w:rPr>
          <w:rFonts w:cs="Courier"/>
        </w:rPr>
        <w:t xml:space="preserve"> </w:t>
      </w:r>
      <w:r w:rsidRPr="005D3149">
        <w:rPr>
          <w:rFonts w:cs="NewBaskerville-Roman"/>
        </w:rPr>
        <w:t xml:space="preserve">when bound to the method’s </w:t>
      </w:r>
      <w:r w:rsidRPr="005D3149">
        <w:rPr>
          <w:rFonts w:ascii="Courier New" w:hAnsi="Courier New" w:cs="Courier New"/>
          <w:sz w:val="18"/>
          <w:szCs w:val="18"/>
        </w:rPr>
        <w:t>max</w:t>
      </w:r>
      <w:r w:rsidRPr="005D3149">
        <w:rPr>
          <w:rFonts w:cs="Courier"/>
        </w:rPr>
        <w:t xml:space="preserve"> </w:t>
      </w:r>
      <w:r w:rsidRPr="005D3149">
        <w:rPr>
          <w:rFonts w:cs="NewBaskerville-Roman"/>
        </w:rPr>
        <w:t>parameter</w:t>
      </w:r>
      <w:r w:rsidRPr="005D3149">
        <w:rPr>
          <w:rFonts w:ascii="NewBaskerville-Roman" w:hAnsi="NewBaskerville-Roman" w:cs="NewBaskerville-Roman"/>
          <w:sz w:val="20"/>
          <w:szCs w:val="20"/>
        </w:rPr>
        <w:t>.</w:t>
      </w:r>
    </w:p>
    <w:p w:rsidR="007261F6" w:rsidRPr="004B61B1" w:rsidRDefault="007261F6" w:rsidP="005D3149">
      <w:pPr>
        <w:pStyle w:val="ListParagraph"/>
        <w:numPr>
          <w:ilvl w:val="0"/>
          <w:numId w:val="1"/>
        </w:numPr>
        <w:autoSpaceDE w:val="0"/>
        <w:autoSpaceDN w:val="0"/>
        <w:adjustRightInd w:val="0"/>
        <w:spacing w:after="0" w:line="240" w:lineRule="auto"/>
      </w:pPr>
      <w:r w:rsidRPr="004B61B1">
        <w:rPr>
          <w:rFonts w:cs="NewBaskerville-Roman"/>
        </w:rPr>
        <w:t xml:space="preserve">The </w:t>
      </w:r>
      <w:r w:rsidRPr="004B61B1">
        <w:rPr>
          <w:rFonts w:cs="Courier"/>
        </w:rPr>
        <w:t xml:space="preserve">count </w:t>
      </w:r>
      <w:r w:rsidRPr="004B61B1">
        <w:rPr>
          <w:rFonts w:cs="NewBaskerville-Roman"/>
        </w:rPr>
        <w:t xml:space="preserve">parameter will default to 20 if the request doesn’t have a </w:t>
      </w:r>
      <w:r w:rsidRPr="004B61B1">
        <w:rPr>
          <w:rFonts w:cs="Courier"/>
        </w:rPr>
        <w:t xml:space="preserve">count </w:t>
      </w:r>
      <w:r w:rsidRPr="004B61B1">
        <w:rPr>
          <w:rFonts w:cs="NewBaskerville-Roman"/>
        </w:rPr>
        <w:t>parameter</w:t>
      </w:r>
      <w:r>
        <w:rPr>
          <w:rFonts w:ascii="NewBaskerville-Roman" w:hAnsi="NewBaskerville-Roman" w:cs="NewBaskerville-Roman"/>
          <w:sz w:val="20"/>
          <w:szCs w:val="20"/>
        </w:rPr>
        <w:t>.</w:t>
      </w:r>
      <w:r w:rsidR="004B61B1">
        <w:rPr>
          <w:rFonts w:ascii="NewBaskerville-Roman" w:hAnsi="NewBaskerville-Roman" w:cs="NewBaskerville-Roman"/>
          <w:sz w:val="20"/>
          <w:szCs w:val="20"/>
        </w:rPr>
        <w:t xml:space="preserve"> </w:t>
      </w:r>
    </w:p>
    <w:p w:rsidR="007B2B07" w:rsidRPr="00465E5A" w:rsidRDefault="004B61B1" w:rsidP="00C544E6">
      <w:pPr>
        <w:pStyle w:val="ListParagraph"/>
        <w:numPr>
          <w:ilvl w:val="0"/>
          <w:numId w:val="1"/>
        </w:numPr>
        <w:autoSpaceDE w:val="0"/>
        <w:autoSpaceDN w:val="0"/>
        <w:adjustRightInd w:val="0"/>
        <w:spacing w:after="0" w:line="240" w:lineRule="auto"/>
      </w:pPr>
      <w:r w:rsidRPr="004B61B1">
        <w:rPr>
          <w:rFonts w:cs="NewBaskerville-Roman"/>
        </w:rPr>
        <w:t>Query parameters are a common way to pass information to a controller in a request. Another way that’s popular, especially in a discussion of building resource</w:t>
      </w:r>
      <w:r>
        <w:rPr>
          <w:rFonts w:cs="NewBaskerville-Roman"/>
        </w:rPr>
        <w:t xml:space="preserve"> </w:t>
      </w:r>
      <w:r w:rsidRPr="004B61B1">
        <w:rPr>
          <w:rFonts w:cs="NewBaskerville-Roman"/>
        </w:rPr>
        <w:t>oriented controllers, is to pass parameters as part of the request path. Let’s see how to use path variables to take input as part of the request path.</w:t>
      </w:r>
    </w:p>
    <w:sectPr w:rsidR="007B2B07" w:rsidRPr="00465E5A" w:rsidSect="008436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Wingdings2">
    <w:altName w:val="Arial Unicode MS"/>
    <w:panose1 w:val="00000000000000000000"/>
    <w:charset w:val="88"/>
    <w:family w:val="auto"/>
    <w:notTrueType/>
    <w:pitch w:val="default"/>
    <w:sig w:usb0="00000001" w:usb1="08080000" w:usb2="00000010" w:usb3="00000000" w:csb0="00100000" w:csb1="00000000"/>
  </w:font>
  <w:font w:name="NewBaskerville-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D5F"/>
    <w:multiLevelType w:val="hybridMultilevel"/>
    <w:tmpl w:val="E634E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211A2"/>
    <w:multiLevelType w:val="hybridMultilevel"/>
    <w:tmpl w:val="90544AD0"/>
    <w:lvl w:ilvl="0" w:tplc="9BE08CD0">
      <w:numFmt w:val="bullet"/>
      <w:lvlText w:val=""/>
      <w:lvlJc w:val="left"/>
      <w:pPr>
        <w:ind w:left="1080" w:hanging="360"/>
      </w:pPr>
      <w:rPr>
        <w:rFonts w:ascii="Symbol" w:eastAsia="Arial Unicode MS" w:hAnsi="Symbol" w:cs="Arial Unicode MS" w:hint="default"/>
        <w:color w:val="AE6F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7125E6"/>
    <w:multiLevelType w:val="hybridMultilevel"/>
    <w:tmpl w:val="45F2B31C"/>
    <w:lvl w:ilvl="0" w:tplc="14660F64">
      <w:numFmt w:val="bullet"/>
      <w:lvlText w:val="-"/>
      <w:lvlJc w:val="left"/>
      <w:pPr>
        <w:ind w:left="720" w:hanging="360"/>
      </w:pPr>
      <w:rPr>
        <w:rFonts w:ascii="Calibri" w:eastAsia="Wingdings2" w:hAnsi="Calibri" w:cs="Wingdings2" w:hint="default"/>
        <w:color w:val="AE6F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092121"/>
    <w:multiLevelType w:val="hybridMultilevel"/>
    <w:tmpl w:val="B30A2008"/>
    <w:lvl w:ilvl="0" w:tplc="14660F64">
      <w:numFmt w:val="bullet"/>
      <w:lvlText w:val="-"/>
      <w:lvlJc w:val="left"/>
      <w:pPr>
        <w:ind w:left="720" w:hanging="360"/>
      </w:pPr>
      <w:rPr>
        <w:rFonts w:ascii="Calibri" w:eastAsia="Wingdings2" w:hAnsi="Calibri" w:cs="Wingdings2" w:hint="default"/>
        <w:color w:val="AE6F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E2555"/>
    <w:multiLevelType w:val="hybridMultilevel"/>
    <w:tmpl w:val="AC2486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3A7B43"/>
    <w:multiLevelType w:val="hybridMultilevel"/>
    <w:tmpl w:val="061E1438"/>
    <w:lvl w:ilvl="0" w:tplc="73E6C9EC">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0C1FC8"/>
    <w:rsid w:val="000C1FC8"/>
    <w:rsid w:val="000E0928"/>
    <w:rsid w:val="00115974"/>
    <w:rsid w:val="002506BC"/>
    <w:rsid w:val="002959C8"/>
    <w:rsid w:val="002B2111"/>
    <w:rsid w:val="002B5EA4"/>
    <w:rsid w:val="002C3445"/>
    <w:rsid w:val="004460F5"/>
    <w:rsid w:val="00465E5A"/>
    <w:rsid w:val="004B61B1"/>
    <w:rsid w:val="004F2BE3"/>
    <w:rsid w:val="00542128"/>
    <w:rsid w:val="00583A37"/>
    <w:rsid w:val="005D3149"/>
    <w:rsid w:val="0068366F"/>
    <w:rsid w:val="0069114B"/>
    <w:rsid w:val="007261F6"/>
    <w:rsid w:val="00726B05"/>
    <w:rsid w:val="007B2B07"/>
    <w:rsid w:val="007B4266"/>
    <w:rsid w:val="007B5D31"/>
    <w:rsid w:val="007E3282"/>
    <w:rsid w:val="00843630"/>
    <w:rsid w:val="00865682"/>
    <w:rsid w:val="008E0E53"/>
    <w:rsid w:val="00944FC4"/>
    <w:rsid w:val="00945C5C"/>
    <w:rsid w:val="0096309A"/>
    <w:rsid w:val="009B1479"/>
    <w:rsid w:val="009D2086"/>
    <w:rsid w:val="009E7AFA"/>
    <w:rsid w:val="00A020A8"/>
    <w:rsid w:val="00AC7CFD"/>
    <w:rsid w:val="00AF0BF5"/>
    <w:rsid w:val="00BA7F41"/>
    <w:rsid w:val="00BC3142"/>
    <w:rsid w:val="00C544E6"/>
    <w:rsid w:val="00C800E7"/>
    <w:rsid w:val="00CB4821"/>
    <w:rsid w:val="00CC0E83"/>
    <w:rsid w:val="00D52039"/>
    <w:rsid w:val="00E46F72"/>
    <w:rsid w:val="00ED21EC"/>
    <w:rsid w:val="00ED6533"/>
    <w:rsid w:val="00F160B7"/>
    <w:rsid w:val="00F71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C8"/>
    <w:pPr>
      <w:ind w:left="720"/>
      <w:contextualSpacing/>
    </w:pPr>
  </w:style>
  <w:style w:type="paragraph" w:styleId="BalloonText">
    <w:name w:val="Balloon Text"/>
    <w:basedOn w:val="Normal"/>
    <w:link w:val="BalloonTextChar"/>
    <w:uiPriority w:val="99"/>
    <w:semiHidden/>
    <w:unhideWhenUsed/>
    <w:rsid w:val="00726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2017-09-10T10:04:00Z</dcterms:created>
  <dcterms:modified xsi:type="dcterms:W3CDTF">2017-09-14T14:27:00Z</dcterms:modified>
</cp:coreProperties>
</file>