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FranklinGothic-DemiItal" w:hAnsi="FranklinGothic-DemiItal" w:cs="FranklinGothic-DemiItal"/>
          <w:b/>
          <w:b/>
          <w:bCs/>
          <w:i/>
          <w:i/>
          <w:iCs/>
          <w:color w:val="00704A"/>
          <w:sz w:val="21"/>
          <w:szCs w:val="21"/>
        </w:rPr>
      </w:pPr>
      <w:r>
        <w:rPr>
          <w:rFonts w:cs="FranklinGothic-DemiItal" w:ascii="FranklinGothic-DemiItal" w:hAnsi="FranklinGothic-DemiItal"/>
          <w:b/>
          <w:bCs/>
          <w:i/>
          <w:iCs/>
          <w:color w:val="00704A"/>
          <w:sz w:val="21"/>
          <w:szCs w:val="21"/>
        </w:rPr>
        <w:t>Authenticating against database tables</w:t>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t xml:space="preserve">It’s quite common for user data to be stored in a relational database, accessed via </w:t>
      </w:r>
      <w:r>
        <w:rPr>
          <w:rFonts w:cs="NewBaskerville-Roman" w:ascii="NewBaskerville-Roman" w:hAnsi="NewBaskerville-Roman"/>
          <w:sz w:val="18"/>
          <w:szCs w:val="18"/>
        </w:rPr>
        <w:t>JDBC</w:t>
      </w:r>
      <w:r>
        <w:rPr>
          <w:rFonts w:cs="NewBaskerville-Roman" w:ascii="NewBaskerville-Roman" w:hAnsi="NewBaskerville-Roman"/>
          <w:sz w:val="20"/>
          <w:szCs w:val="20"/>
        </w:rPr>
        <w:t xml:space="preserve">. To configure Spring Security to authenticate against a </w:t>
      </w:r>
      <w:r>
        <w:rPr>
          <w:rFonts w:cs="NewBaskerville-Roman" w:ascii="NewBaskerville-Roman" w:hAnsi="NewBaskerville-Roman"/>
          <w:sz w:val="18"/>
          <w:szCs w:val="18"/>
        </w:rPr>
        <w:t>JDBC</w:t>
      </w:r>
      <w:r>
        <w:rPr>
          <w:rFonts w:cs="NewBaskerville-Roman" w:ascii="NewBaskerville-Roman" w:hAnsi="NewBaskerville-Roman"/>
          <w:sz w:val="20"/>
          <w:szCs w:val="20"/>
        </w:rPr>
        <w:t xml:space="preserve">-backed user store, you can use the </w:t>
      </w:r>
      <w:r>
        <w:rPr>
          <w:rFonts w:cs="Courier" w:ascii="Courier" w:hAnsi="Courier"/>
          <w:sz w:val="19"/>
          <w:szCs w:val="19"/>
        </w:rPr>
        <w:t xml:space="preserve">jdbcAuthentication() </w:t>
      </w:r>
      <w:r>
        <w:rPr>
          <w:rFonts w:cs="NewBaskerville-Roman" w:ascii="NewBaskerville-Roman" w:hAnsi="NewBaskerville-Roman"/>
          <w:sz w:val="20"/>
          <w:szCs w:val="20"/>
        </w:rPr>
        <w:t>method. The minimal configuration required is as follows:</w:t>
      </w:r>
    </w:p>
    <w:p>
      <w:pPr>
        <w:pStyle w:val="Normal"/>
        <w:spacing w:lineRule="auto" w:line="240" w:before="0" w:after="0"/>
        <w:rPr/>
      </w:pPr>
      <w:r>
        <w:rPr/>
        <w:drawing>
          <wp:inline distT="0" distB="0" distL="0" distR="0">
            <wp:extent cx="4474210" cy="128841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474210" cy="1288415"/>
                    </a:xfrm>
                    <a:prstGeom prst="rect">
                      <a:avLst/>
                    </a:prstGeom>
                  </pic:spPr>
                </pic:pic>
              </a:graphicData>
            </a:graphic>
          </wp:inline>
        </w:drawing>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t xml:space="preserve">The only thing you must configure is a </w:t>
      </w:r>
      <w:r>
        <w:rPr>
          <w:rFonts w:cs="Courier" w:ascii="Courier" w:hAnsi="Courier"/>
          <w:sz w:val="19"/>
          <w:szCs w:val="19"/>
        </w:rPr>
        <w:t xml:space="preserve">DataSource </w:t>
      </w:r>
      <w:r>
        <w:rPr>
          <w:rFonts w:cs="NewBaskerville-Roman" w:ascii="NewBaskerville-Roman" w:hAnsi="NewBaskerville-Roman"/>
          <w:sz w:val="20"/>
          <w:szCs w:val="20"/>
        </w:rPr>
        <w:t xml:space="preserve">so that it’s able to access the relational database. The </w:t>
      </w:r>
      <w:r>
        <w:rPr>
          <w:rFonts w:cs="Courier" w:ascii="Courier" w:hAnsi="Courier"/>
          <w:sz w:val="19"/>
          <w:szCs w:val="19"/>
        </w:rPr>
        <w:t xml:space="preserve">DataSource </w:t>
      </w:r>
      <w:r>
        <w:rPr>
          <w:rFonts w:cs="NewBaskerville-Roman" w:ascii="NewBaskerville-Roman" w:hAnsi="NewBaskerville-Roman"/>
          <w:sz w:val="20"/>
          <w:szCs w:val="20"/>
        </w:rPr>
        <w:t>is provided here via the magic of autowiring.</w:t>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FranklinGothic-Demi" w:hAnsi="FranklinGothic-Demi" w:cs="FranklinGothic-Demi"/>
          <w:b/>
          <w:b/>
          <w:sz w:val="15"/>
          <w:szCs w:val="15"/>
        </w:rPr>
      </w:pPr>
      <w:r>
        <w:rPr>
          <w:rFonts w:cs="FranklinGothic-Demi" w:ascii="FranklinGothic-Demi" w:hAnsi="FranklinGothic-Demi"/>
          <w:b/>
          <w:sz w:val="19"/>
          <w:szCs w:val="19"/>
        </w:rPr>
        <w:t>O</w:t>
      </w:r>
      <w:r>
        <w:rPr>
          <w:rFonts w:cs="FranklinGothic-Demi" w:ascii="FranklinGothic-Demi" w:hAnsi="FranklinGothic-Demi"/>
          <w:b/>
          <w:sz w:val="15"/>
          <w:szCs w:val="15"/>
        </w:rPr>
        <w:t>VERRIDING THE DEFAULT USER QUERIES</w:t>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t xml:space="preserve">Although this minimal configuration will work, it makes some assumptions about your database schema. It expects that certain tables exist where user data will be kept. More specifically, the following snippet of code from Spring Security’s internals shows the </w:t>
      </w:r>
      <w:r>
        <w:rPr>
          <w:rFonts w:cs="NewBaskerville-Roman" w:ascii="NewBaskerville-Roman" w:hAnsi="NewBaskerville-Roman"/>
          <w:sz w:val="18"/>
          <w:szCs w:val="18"/>
        </w:rPr>
        <w:t xml:space="preserve">SQL </w:t>
      </w:r>
      <w:r>
        <w:rPr>
          <w:rFonts w:cs="NewBaskerville-Roman" w:ascii="NewBaskerville-Roman" w:hAnsi="NewBaskerville-Roman"/>
          <w:sz w:val="20"/>
          <w:szCs w:val="20"/>
        </w:rPr>
        <w:t>queries that will be performed when looking up user details:</w:t>
      </w:r>
    </w:p>
    <w:p>
      <w:pPr>
        <w:pStyle w:val="Normal"/>
        <w:spacing w:lineRule="auto" w:line="240" w:before="0" w:after="0"/>
        <w:rPr/>
      </w:pPr>
      <w:r>
        <w:rPr/>
        <w:drawing>
          <wp:inline distT="0" distB="0" distL="0" distR="0">
            <wp:extent cx="4379595" cy="1915795"/>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4379595" cy="1915795"/>
                    </a:xfrm>
                    <a:prstGeom prst="rect">
                      <a:avLst/>
                    </a:prstGeom>
                  </pic:spPr>
                </pic:pic>
              </a:graphicData>
            </a:graphic>
          </wp:inline>
        </w:drawing>
      </w:r>
    </w:p>
    <w:p>
      <w:pPr>
        <w:pStyle w:val="Normal"/>
        <w:spacing w:lineRule="auto" w:line="240" w:before="0" w:after="0"/>
        <w:rPr/>
      </w:pPr>
      <w:r>
        <w:rPr>
          <w:rFonts w:cs="NewBaskerville-Roman" w:ascii="NewBaskerville-Roman" w:hAnsi="NewBaskerville-Roman"/>
          <w:sz w:val="20"/>
          <w:szCs w:val="20"/>
        </w:rPr>
        <w:t>The first query retrieves a user’s username, password, and whether or not they’re enabled. This information is used to authenticate the user. The next query looks up the user’s granted authorities for authorization purposes, and the final query looks up authorities granted to a user as a member of a group.</w:t>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pPr>
      <w:r>
        <w:rPr>
          <w:rFonts w:cs="NewBaskerville-Roman" w:ascii="NewBaskerville-Roman" w:hAnsi="NewBaskerville-Roman"/>
          <w:sz w:val="20"/>
          <w:szCs w:val="20"/>
        </w:rPr>
        <w:t>If you’re okay with defining and populating tables in your database that satisfy those queries, then there’s not much else for you to do. But chances are your database doesn’t look anything like this, and you’ll want more control over the queries. In that case, you can configure your own queries like this:</w:t>
      </w:r>
    </w:p>
    <w:p>
      <w:pPr>
        <w:pStyle w:val="Normal"/>
        <w:spacing w:lineRule="auto" w:line="240" w:before="0" w:after="0"/>
        <w:rPr>
          <w:rFonts w:ascii="NewBaskerville-Roman" w:hAnsi="NewBaskerville-Roman" w:cs="NewBaskerville-Roman"/>
          <w:sz w:val="20"/>
          <w:szCs w:val="20"/>
        </w:rPr>
      </w:pPr>
      <w:r>
        <w:rPr>
          <w:rFonts w:cs="NewBaskerville-Roman" w:ascii="NewBaskerville-Roman" w:hAnsi="NewBaskerville-Roman"/>
          <w:sz w:val="20"/>
          <w:szCs w:val="20"/>
        </w:rPr>
      </w:r>
    </w:p>
    <w:p>
      <w:pPr>
        <w:pStyle w:val="Normal"/>
        <w:spacing w:lineRule="auto" w:line="240" w:before="0" w:after="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39128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731510" cy="139128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77660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776605"/>
                    </a:xfrm>
                    <a:prstGeom prst="rect">
                      <a:avLst/>
                    </a:prstGeom>
                  </pic:spPr>
                </pic:pic>
              </a:graphicData>
            </a:graphic>
          </wp:anchor>
        </w:drawing>
      </w:r>
    </w:p>
    <w:p>
      <w:pPr>
        <w:pStyle w:val="Normal"/>
        <w:spacing w:lineRule="auto" w:line="240" w:before="0" w:after="0"/>
        <w:rPr/>
      </w:pPr>
      <w:r>
        <w:rPr/>
        <w:t>In this case, you’re only overriding the authentication and basic authorization queries. But you can also override the group authorities query by calling group-</w:t>
      </w:r>
    </w:p>
    <w:p>
      <w:pPr>
        <w:pStyle w:val="Normal"/>
        <w:spacing w:lineRule="auto" w:line="240" w:before="0" w:after="0"/>
        <w:rPr/>
      </w:pPr>
      <w:r>
        <w:rPr/>
        <w:t>AuthoritiesByUsername() with a custom query.</w:t>
      </w:r>
    </w:p>
    <w:p>
      <w:pPr>
        <w:pStyle w:val="Normal"/>
        <w:spacing w:lineRule="auto" w:line="240" w:before="0" w:after="0"/>
        <w:rPr/>
      </w:pPr>
      <w:r>
        <w:rPr/>
      </w:r>
    </w:p>
    <w:p>
      <w:pPr>
        <w:pStyle w:val="Normal"/>
        <w:numPr>
          <w:ilvl w:val="0"/>
          <w:numId w:val="1"/>
        </w:numPr>
        <w:spacing w:lineRule="auto" w:line="240" w:before="0" w:after="0"/>
        <w:rPr/>
      </w:pPr>
      <w:r>
        <w:rPr/>
        <w:t xml:space="preserve">When replacing the default SQL queries with those of your own design, it’s important to adhere to the basic contract of the queries. All of them take the username as their only parameter. </w:t>
      </w:r>
    </w:p>
    <w:p>
      <w:pPr>
        <w:pStyle w:val="Normal"/>
        <w:numPr>
          <w:ilvl w:val="0"/>
          <w:numId w:val="1"/>
        </w:numPr>
        <w:spacing w:lineRule="auto" w:line="240" w:before="0" w:after="0"/>
        <w:rPr/>
      </w:pPr>
      <w:r>
        <w:rPr/>
        <w:t>The authentication query selects the username, password, and enabled status.</w:t>
      </w:r>
    </w:p>
    <w:p>
      <w:pPr>
        <w:pStyle w:val="Normal"/>
        <w:numPr>
          <w:ilvl w:val="0"/>
          <w:numId w:val="1"/>
        </w:numPr>
        <w:spacing w:lineRule="auto" w:line="240" w:before="0" w:after="0"/>
        <w:rPr/>
      </w:pPr>
      <w:r>
        <w:rPr/>
        <w:t>The authorities query selects zero or more rows containing the username and a granted authority. And the group authorities query selects zero or more rows each with a group ID, group name, and an authority.</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bCs/>
        </w:rPr>
      </w:pPr>
      <w:r>
        <w:rPr>
          <w:b/>
          <w:bCs/>
        </w:rPr>
        <w:t>WORKING WITH ENCODED PASSWORDS</w:t>
      </w:r>
    </w:p>
    <w:p>
      <w:pPr>
        <w:pStyle w:val="Normal"/>
        <w:spacing w:lineRule="auto" w:line="240" w:before="0" w:after="0"/>
        <w:rPr>
          <w:b/>
          <w:b/>
          <w:bCs/>
        </w:rPr>
      </w:pPr>
      <w:r>
        <w:rPr>
          <w:b/>
          <w:bCs/>
        </w:rPr>
      </w:r>
    </w:p>
    <w:p>
      <w:pPr>
        <w:pStyle w:val="Normal"/>
        <w:spacing w:lineRule="auto" w:line="240" w:before="0" w:after="0"/>
        <w:rPr/>
      </w:pPr>
      <w:r>
        <w:rPr/>
        <w:t>Focusing on the authentication query, you can see that user passwords are expected to be stored in the database. The only problem with that is that if the passwords are stored in plain text, they’re subject to the prying eyes of a hacker. But if you encode the password in the database, then authentication will fail because it won’t match the plain text password submitted by the user.</w:t>
      </w:r>
    </w:p>
    <w:p>
      <w:pPr>
        <w:pStyle w:val="Normal"/>
        <w:spacing w:lineRule="auto" w:line="240" w:before="0" w:after="0"/>
        <w:rPr/>
      </w:pPr>
      <w:r>
        <w:rPr/>
        <w:t>To remedy this problem, you need to specify a password encoder by calling the</w:t>
      </w:r>
    </w:p>
    <w:p>
      <w:pPr>
        <w:pStyle w:val="Normal"/>
        <w:spacing w:lineRule="auto" w:line="240" w:before="0" w:after="0"/>
        <w:rPr/>
      </w:pPr>
      <w:r>
        <w:rPr>
          <w:rFonts w:ascii="Courier 10 Pitch" w:hAnsi="Courier 10 Pitch"/>
        </w:rPr>
        <w:t>passwordEncoder()</w:t>
      </w:r>
      <w:r>
        <w:rPr/>
        <w:t xml:space="preserve"> method:</w:t>
      </w:r>
    </w:p>
    <w:p>
      <w:pPr>
        <w:pStyle w:val="Normal"/>
        <w:spacing w:lineRule="auto" w:line="240" w:before="0" w:after="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23485" cy="192468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tretch>
                      <a:fillRect/>
                    </a:stretch>
                  </pic:blipFill>
                  <pic:spPr bwMode="auto">
                    <a:xfrm>
                      <a:off x="0" y="0"/>
                      <a:ext cx="5023485" cy="1924685"/>
                    </a:xfrm>
                    <a:prstGeom prst="rect">
                      <a:avLst/>
                    </a:prstGeom>
                  </pic:spPr>
                </pic:pic>
              </a:graphicData>
            </a:graphic>
          </wp:anchor>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 xml:space="preserve">The </w:t>
      </w:r>
      <w:r>
        <w:rPr>
          <w:rFonts w:ascii="Courier 10 Pitch" w:hAnsi="Courier 10 Pitch"/>
        </w:rPr>
        <w:t>passwordEncoder</w:t>
      </w:r>
      <w:r>
        <w:rPr/>
        <w:t xml:space="preserve"> method accepts any implementation of Spring Security’s </w:t>
      </w:r>
      <w:r>
        <w:rPr>
          <w:rFonts w:ascii="Courier 10 Pitch" w:hAnsi="Courier 10 Pitch"/>
        </w:rPr>
        <w:t>PasswordEncoder</w:t>
      </w:r>
      <w:r>
        <w:rPr/>
        <w:t xml:space="preserve"> interface. Spring Security’s cryptography module includes three such implementations: </w:t>
      </w:r>
      <w:r>
        <w:rPr>
          <w:rFonts w:ascii="Courier 10 Pitch" w:hAnsi="Courier 10 Pitch"/>
        </w:rPr>
        <w:t>BCryptPasswordEncoder</w:t>
      </w:r>
      <w:r>
        <w:rPr/>
        <w:t xml:space="preserve"> , </w:t>
      </w:r>
      <w:r>
        <w:rPr>
          <w:rFonts w:ascii="Courier 10 Pitch" w:hAnsi="Courier 10 Pitch"/>
        </w:rPr>
        <w:t>NoOpPasswordEncoder</w:t>
      </w:r>
      <w:r>
        <w:rPr/>
        <w:t xml:space="preserve"> , and </w:t>
      </w:r>
      <w:r>
        <w:rPr>
          <w:rFonts w:ascii="Courier 10 Pitch" w:hAnsi="Courier 10 Pitch"/>
        </w:rPr>
        <w:t>StandardPasswordEncoder</w:t>
      </w:r>
      <w:r>
        <w:rPr/>
        <w:t>.</w:t>
      </w:r>
    </w:p>
    <w:p>
      <w:pPr>
        <w:pStyle w:val="Normal"/>
        <w:spacing w:lineRule="auto" w:line="240" w:before="0" w:after="0"/>
        <w:rPr/>
      </w:pPr>
      <w:r>
        <w:rPr/>
        <w:t xml:space="preserve">The preceding code uses </w:t>
      </w:r>
      <w:r>
        <w:rPr>
          <w:rFonts w:ascii="Courier 10 Pitch" w:hAnsi="Courier 10 Pitch"/>
        </w:rPr>
        <w:t>StandardPasswordEncoder</w:t>
      </w:r>
      <w:r>
        <w:rPr/>
        <w:t xml:space="preserve"> . But you can always provide your own custom implementation if none of the out-of-the-box implementations meet your needs. The </w:t>
      </w:r>
      <w:r>
        <w:rPr>
          <w:rFonts w:ascii="Courier 10 Pitch" w:hAnsi="Courier 10 Pitch"/>
        </w:rPr>
        <w:t xml:space="preserve">PasswordEncoder </w:t>
      </w:r>
      <w:r>
        <w:rPr/>
        <w:t>interface is rather simple:</w:t>
      </w:r>
    </w:p>
    <w:p>
      <w:pPr>
        <w:pStyle w:val="Normal"/>
        <w:spacing w:lineRule="auto" w:line="240" w:before="0" w:after="0"/>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90106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5731510" cy="901065"/>
                    </a:xfrm>
                    <a:prstGeom prst="rect">
                      <a:avLst/>
                    </a:prstGeom>
                  </pic:spPr>
                </pic:pic>
              </a:graphicData>
            </a:graphic>
          </wp:anchor>
        </w:drawing>
      </w:r>
      <w:r>
        <w:rPr/>
        <w:t>N</w:t>
      </w:r>
      <w:r>
        <w:rPr/>
        <w:t xml:space="preserve">o matter which password encoder you use, it’s important to understand that the password in the database is never decoded. Instead, the password that the user enters at login is encoded using the same algorithm and is then compared with the encoded password in the database. That comparison is performed in the </w:t>
      </w:r>
      <w:r>
        <w:rPr>
          <w:rFonts w:ascii="Courier 10 Pitch" w:hAnsi="Courier 10 Pitch"/>
        </w:rPr>
        <w:t>PasswordEncoder’s</w:t>
      </w:r>
      <w:r>
        <w:rPr/>
        <w:t xml:space="preserve"> </w:t>
      </w:r>
      <w:r>
        <w:rPr>
          <w:rFonts w:ascii="Courier 10 Pitch" w:hAnsi="Courier 10 Pitch"/>
        </w:rPr>
        <w:t xml:space="preserve">matches() </w:t>
      </w:r>
      <w:r>
        <w:rPr/>
        <w:t>method.</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ranklinGothic-DemiItal">
    <w:charset w:val="01"/>
    <w:family w:val="roman"/>
    <w:pitch w:val="variable"/>
  </w:font>
  <w:font w:name="NewBaskerville-Roman">
    <w:charset w:val="01"/>
    <w:family w:val="roman"/>
    <w:pitch w:val="variable"/>
  </w:font>
  <w:font w:name="Courier">
    <w:altName w:val="Courier New"/>
    <w:charset w:val="01"/>
    <w:family w:val="roman"/>
    <w:pitch w:val="variable"/>
  </w:font>
  <w:font w:name="FranklinGothic-Demi">
    <w:charset w:val="01"/>
    <w:family w:val="roman"/>
    <w:pitch w:val="variable"/>
  </w:font>
  <w:font w:name="Courier 10 Pitch">
    <w:charset w:val="01"/>
    <w:family w:val="roman"/>
    <w:pitch w:val="variable"/>
  </w:font>
  <w:font w:name="Courier 10 Pitch">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n-IN" w:eastAsia="en-I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00000A"/>
      <w:sz w:val="22"/>
      <w:szCs w:val="22"/>
      <w:lang w:val="en-IN" w:eastAsia="en-IN"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a553f"/>
    <w:rPr>
      <w:rFonts w:ascii="Tahoma" w:hAnsi="Tahoma" w:cs="Tahoma"/>
      <w:sz w:val="16"/>
      <w:szCs w:val="1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3a553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Application>LibreOffice/5.1.6.2$Linux_X86_64 LibreOffice_project/10m0$Build-2</Application>
  <Pages>3</Pages>
  <Words>539</Words>
  <Characters>2929</Characters>
  <CharactersWithSpaces>3447</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2018-04-11T03:19:00Z</dcterms:created>
  <dc:creator>Userr</dc:creator>
  <dc:description/>
  <dc:language>en-IN</dc:language>
  <cp:lastModifiedBy/>
  <dcterms:modified xsi:type="dcterms:W3CDTF">2018-04-15T15:17:02Z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