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372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Microservice Architecture:</w:t>
      </w:r>
    </w:p>
    <w:p w:rsidR="000F3727" w:rsidRDefault="000F3727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349704" cy="3932261"/>
            <wp:effectExtent l="19050" t="0" r="3346" b="0"/>
            <wp:docPr id="1" name="Picture 0" descr="vlc_2017-04-16_15-3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4-16_15-33-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7" w:rsidRPr="000F3727" w:rsidRDefault="000F3727">
      <w:r>
        <w:t xml:space="preserve">The microservices approach decomposes the monolithic application along the y-axis into services that satisfy single use case or set of related functionality.  These services are </w:t>
      </w:r>
    </w:p>
    <w:sectPr w:rsidR="000F3727" w:rsidRPr="000F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F3727"/>
    <w:rsid w:val="000F3727"/>
    <w:rsid w:val="0068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2017-04-16T10:02:00Z</dcterms:created>
  <dcterms:modified xsi:type="dcterms:W3CDTF">2017-04-16T13:28:00Z</dcterms:modified>
</cp:coreProperties>
</file>