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4"/>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30"/>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6"/>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
      <w:bCs/>
      <w:i w:val="false"/>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b/>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b/>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b/>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b/>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b/>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left"/>
    </w:pPr>
    <w:rPr/>
  </w:style>
  <w:style w:type="paragraph" w:styleId="ImageCaption" w:customStyle="1">
    <w:name w:val="Image Caption"/>
    <w:basedOn w:val="Caption"/>
    <w:qFormat/>
    <w:pPr>
      <w:spacing w:lineRule="auto" w:line="276"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2023-02-07T19:49:16Z</dcterms:modified>
  <cp:revision>64</cp:revision>
  <dc:subject/>
  <dc:title>Title</dc:title>
</cp:coreProperties>
</file>

<file path=docProps/custom.xml><?xml version="1.0" encoding="utf-8"?>
<Properties xmlns="http://schemas.openxmlformats.org/officeDocument/2006/custom-properties" xmlns:vt="http://schemas.openxmlformats.org/officeDocument/2006/docPropsVTypes"/>
</file>