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 лабораторной работе «Страх и его преодоление» 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Автор: Кудрявцева Руслана Сергеевна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Факультет: ПИиКТ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P3117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Преподавател</w:t>
      </w:r>
      <w:r>
        <w:rPr>
          <w:rFonts w:eastAsia="Times New Roman" w:cs="Times New Roman" w:ascii="Times New Roman" w:hAnsi="Times New Roman"/>
          <w:sz w:val="24"/>
          <w:szCs w:val="24"/>
        </w:rPr>
        <w:t>ь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Федорова Антонина Владимировна</w:t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</w:t>
      </w:r>
      <w:r>
        <w:rPr/>
        <w:drawing>
          <wp:inline distT="0" distB="0" distL="0" distR="0">
            <wp:extent cx="1849120" cy="7302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73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Санкт-Петербург </w:t>
      </w:r>
    </w:p>
    <w:p>
      <w:pPr>
        <w:pStyle w:val="Normal"/>
        <w:shd w:val="clear" w:color="auto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</w:t>
      </w:r>
      <w:r>
        <w:rPr>
          <w:rFonts w:eastAsia="Times New Roman" w:cs="Times New Roman" w:ascii="Times New Roman" w:hAnsi="Times New Roman"/>
          <w:sz w:val="24"/>
          <w:szCs w:val="24"/>
        </w:rPr>
        <w:t>5</w:t>
      </w:r>
    </w:p>
    <w:p>
      <w:pPr>
        <w:pStyle w:val="Normal"/>
        <w:spacing w:lineRule="auto" w:line="360" w:before="240" w:after="24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научиться применять техники для управления своим страхом.</w:t>
      </w:r>
    </w:p>
    <w:p>
      <w:pPr>
        <w:pStyle w:val="Normal"/>
        <w:spacing w:lineRule="auto" w:line="360" w:before="240" w:after="240"/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Задачи работы: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firstLine="709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освоить метод рационализации оспаривания страха;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firstLine="709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разработать план действий на случай, если то, чего вы боитесь, произойдет;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firstLine="709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проанализировать полученные результаты;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firstLine="709" w:left="0"/>
        <w:contextualSpacing/>
        <w:jc w:val="both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заполнить форму отчета.</w:t>
      </w:r>
    </w:p>
    <w:p>
      <w:pPr>
        <w:pStyle w:val="Normal"/>
        <w:spacing w:lineRule="auto" w:line="360" w:before="240" w:after="240"/>
        <w:ind w:firstLine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№ 1. Подбор аргументов оспаривания страхов на основе метода рационализации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аблица 1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- Подбор аргументов </w:t>
      </w:r>
    </w:p>
    <w:tbl>
      <w:tblPr>
        <w:tblStyle w:val="af0"/>
        <w:tblW w:w="87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noHBand="0" w:noVBand="1" w:firstColumn="0" w:lastRow="0" w:lastColumn="0" w:firstRow="0"/>
      </w:tblPr>
      <w:tblGrid>
        <w:gridCol w:w="4139"/>
        <w:gridCol w:w="4605"/>
      </w:tblGrid>
      <w:tr>
        <w:trPr>
          <w:trHeight w:val="1056" w:hRule="atLeast"/>
        </w:trPr>
        <w:tc>
          <w:tcPr>
            <w:tcW w:w="8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Страх : боязнь глубины/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глубоких участков водоемв, где не видно дна.</w:t>
            </w:r>
          </w:p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485" w:hRule="atLeast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Аргументы «за»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Аргументы «против»</w:t>
            </w:r>
          </w:p>
        </w:tc>
      </w:tr>
      <w:tr>
        <w:trPr>
          <w:trHeight w:val="1367" w:hRule="atLeast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В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глубокой воде сложнее контролировать ситуацию, и если что-то пойдет не так, высок риск утонуть.</w:t>
            </w:r>
          </w:p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Опасность можно минимизировать, </w:t>
            </w: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если вы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умеете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плавать,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у вас есть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спасательные жилеты и контроль за ситуацией,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что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значительно снижа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е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т риск утопления.</w:t>
            </w:r>
          </w:p>
        </w:tc>
      </w:tr>
      <w:tr>
        <w:trPr>
          <w:trHeight w:val="1520" w:hRule="atLeast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Больше всего пугает н</w:t>
            </w: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еизвестность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– в глубине может скрываться что угодно: хищные рыбы, подводные течения, необъяснимые явления.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Глубина – не означает угрозу, </w:t>
            </w: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потому что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многие водоемы абсолютно безопасны, а большинство живых существ в воде не представляют опасности для человека.</w:t>
            </w:r>
          </w:p>
        </w:tc>
      </w:tr>
      <w:tr>
        <w:trPr>
          <w:trHeight w:val="1520" w:hRule="atLeast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Отсутствие опоры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–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человек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привыкает к опоре под ногами, а отсутствие дна вызывает панику и потерю контроля.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Страх иррационален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 – миллионы людей плавают в океанах, морях, реках и бассейнах без каких-либо происшествий, а страх чаще вызван фантазией, а не реальными угрозами.</w:t>
            </w:r>
          </w:p>
        </w:tc>
      </w:tr>
    </w:tbl>
    <w:p>
      <w:pPr>
        <w:pStyle w:val="Normal"/>
        <w:shd w:val="clear" w:color="auto" w:fill="FFFFFF"/>
        <w:spacing w:lineRule="auto" w:line="360" w:before="240" w:after="2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Выводы к заданию №1</w:t>
      </w:r>
    </w:p>
    <w:p>
      <w:pPr>
        <w:pStyle w:val="Normal"/>
        <w:spacing w:lineRule="auto" w:line="360" w:before="240" w:after="240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 xml:space="preserve">Аргументы против страха (рациональные доводы) кажутся более убедительными, так как они основаны на реальных фактах и логике. Например, знание того, что можно минимизировать риски, внушает больше уверенности. После анализа своих страхов становится понятно, что многие опасения преувеличены или основаны на иррациональных убеждениях. Метод рационализации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не является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 xml:space="preserve"> действенным способом управления страхами,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когда человек оказывается в ситуации, где ему страшно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 xml:space="preserve">. Он помогает взглянуть на проблему объективно, разбирая ее с точки зрения логики и реальных фактов,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однако это когда смотришь на проблему со стороны, а не когда находишься в момент столкновения со страхом.</w:t>
      </w:r>
    </w:p>
    <w:p>
      <w:pPr>
        <w:pStyle w:val="Normal"/>
        <w:spacing w:lineRule="auto" w:line="360" w:before="240" w:after="240"/>
        <w:ind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Задание №2. Разработка плана действий для управления страхом 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2 - План действий для управления страхом </w:t>
      </w:r>
    </w:p>
    <w:tbl>
      <w:tblPr>
        <w:tblStyle w:val="af1"/>
        <w:tblW w:w="93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noHBand="0" w:noVBand="1" w:firstColumn="0" w:lastRow="0" w:lastColumn="0" w:firstRow="0"/>
      </w:tblPr>
      <w:tblGrid>
        <w:gridCol w:w="2999"/>
        <w:gridCol w:w="3046"/>
        <w:gridCol w:w="3300"/>
      </w:tblGrid>
      <w:tr>
        <w:trPr>
          <w:trHeight w:val="495" w:hRule="atLeast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Чего я боюсь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Что я буду делать, если это случится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Что я буду делать, чтобы этого не случилось</w:t>
            </w:r>
          </w:p>
        </w:tc>
      </w:tr>
      <w:tr>
        <w:trPr>
          <w:trHeight w:val="495" w:hRule="atLeast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Потер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и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контроля в глубокой воде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Постараюсь сохранять спокойствие, всплывать на поверхность, использовать технику "звезда"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аучусь лучше плавать, потренируюсь в безопасной среде (бассейн, мелководье)</w:t>
            </w:r>
          </w:p>
        </w:tc>
      </w:tr>
      <w:tr>
        <w:trPr>
          <w:trHeight w:val="495" w:hRule="atLeast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Столкновени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я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с неизвестным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Напомню себе, что вода прозрачная и большинство существ не опасны 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Буду плавать в проверенных местах, чтобы убрать неопределенность</w:t>
            </w:r>
          </w:p>
        </w:tc>
      </w:tr>
      <w:tr>
        <w:trPr>
          <w:trHeight w:val="495" w:hRule="atLeast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Паническ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ой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атак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и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в воде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Сфокусируюсь на дыхании, перевернусь на спину, чтобы успокоиться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Практикую расслабление и контроль дыхания заранее, привыкаю к воде постепенно</w:t>
            </w:r>
          </w:p>
        </w:tc>
      </w:tr>
    </w:tbl>
    <w:p>
      <w:pPr>
        <w:pStyle w:val="Normal"/>
        <w:spacing w:lineRule="auto" w:line="240" w:before="240" w:after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 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Выводы к заданию №2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b/>
          <w:sz w:val="20"/>
          <w:szCs w:val="20"/>
        </w:rPr>
      </w:pPr>
      <w:bookmarkStart w:id="2" w:name="_GoBack"/>
      <w:bookmarkEnd w:id="2"/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Да,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мне понравилась техника, она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действительно помогает структурировать страхи и посмотреть на них с более рациональной стороны. Больше всего помогло заполнение последнего столбца – планирование действий заранее снимает тревожность. Теперь понятно, что можно сделать, чтобы снизить вероятность столкновения со страхом. Я постараюсь вспомнить об этой технике в будующем, она кажется полезной не только для страха глубины, но и для других тревожных ситуаций в жизни.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030e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link w:val="1"/>
    <w:uiPriority w:val="9"/>
    <w:qFormat/>
    <w:rsid w:val="00181dc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81d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styleId="1" w:customStyle="1">
    <w:name w:val="Заголовок 1 Знак"/>
    <w:basedOn w:val="DefaultParagraphFont"/>
    <w:uiPriority w:val="9"/>
    <w:qFormat/>
    <w:rsid w:val="00181dc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181dcf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qFormat/>
    <w:rsid w:val="00181dcf"/>
    <w:rPr/>
  </w:style>
  <w:style w:type="character" w:styleId="product-title" w:customStyle="1">
    <w:name w:val="product-title"/>
    <w:basedOn w:val="DefaultParagraphFont"/>
    <w:qFormat/>
    <w:rsid w:val="00181dcf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c11ed1"/>
    <w:rPr>
      <w:rFonts w:ascii="Tahoma" w:hAnsi="Tahoma" w:cs="Tahoma"/>
      <w:sz w:val="16"/>
      <w:szCs w:val="16"/>
    </w:rPr>
  </w:style>
  <w:style w:type="character" w:styleId="Style9" w:customStyle="1">
    <w:name w:val="Текст примечания Знак"/>
    <w:basedOn w:val="DefaultParagraphFon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apple-tab-span" w:customStyle="1">
    <w:name w:val="apple-tab-span"/>
    <w:basedOn w:val="DefaultParagraphFont"/>
    <w:qFormat/>
    <w:rsid w:val="00bf088a"/>
    <w:rPr/>
  </w:style>
  <w:style w:type="character" w:styleId="Strong">
    <w:name w:val="Strong"/>
    <w:qFormat/>
    <w:rPr>
      <w:b/>
      <w:bCs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181d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c11e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spacing w:before="0" w:after="200"/>
      <w:ind w:left="720"/>
      <w:contextualSpacing/>
    </w:pPr>
    <w:rPr/>
  </w:style>
  <w:style w:type="paragraph" w:styleId="NoSpacing">
    <w:name w:val="No Spacing"/>
    <w:uiPriority w:val="1"/>
    <w:qFormat/>
    <w:rsid w:val="001b261a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Author" w:customStyle="1">
    <w:name w:val="Author"/>
    <w:basedOn w:val="Normal"/>
    <w:qFormat/>
    <w:rsid w:val="001b261a"/>
    <w:pPr>
      <w:overflowPunct w:val="true"/>
      <w:spacing w:lineRule="auto" w:line="288" w:before="120" w:after="0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qFormat/>
    <w:rsid w:val="001b261a"/>
    <w:pPr/>
    <w:rPr>
      <w:i w:val="false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pBdr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Style9"/>
    <w:uiPriority w:val="99"/>
    <w:semiHidden/>
    <w:unhideWhenUsed/>
    <w:pPr>
      <w:spacing w:lineRule="auto" w:line="240"/>
    </w:pPr>
    <w:rPr>
      <w:sz w:val="20"/>
      <w:szCs w:val="20"/>
    </w:rPr>
  </w:style>
  <w:style w:type="paragraph" w:styleId="Style12">
    <w:name w:val="Содержимое таблицы"/>
    <w:basedOn w:val="Normal"/>
    <w:qFormat/>
    <w:pPr>
      <w:widowControl w:val="false"/>
      <w:suppressLineNumbers/>
    </w:pPr>
    <w:rPr/>
  </w:style>
  <w:style w:type="paragraph" w:styleId="Style13">
    <w:name w:val="Заголовок таблицы"/>
    <w:basedOn w:val="Style12"/>
    <w:qFormat/>
    <w:pPr>
      <w:suppressLineNumbers/>
      <w:jc w:val="center"/>
    </w:pPr>
    <w:rPr>
      <w:b/>
      <w:bCs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1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aRe0Bw2o4zA4YGY8/mQXrMYLiSA==">CgMxLjAyCGguZ2pkZ3hzOAByITFRdWRaQlg5d0JnWWdWMklvbTNQVDREVGRDMklpUmFCOA==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LibreOffice/24.8.6.2$Linux_X86_64 LibreOffice_project/d50be90c1d90f0f90a5235ffcbbafbbfa38a83c2</Application>
  <AppVersion>15.0000</AppVersion>
  <Pages>4</Pages>
  <Words>483</Words>
  <Characters>3142</Characters>
  <CharactersWithSpaces>3694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2023-08-12T17:14:00Z</dcterms:created>
  <dc:creator>User</dc:creator>
  <dc:description/>
  <dc:language>ru-RU</dc:language>
  <cp:lastModifiedBy/>
  <dcterms:modified xsi:type="dcterms:W3CDTF">2025-04-03T14:03:32Z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